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4320477" w:rsidR="00CC4CE1" w:rsidRDefault="002D30D6" w:rsidP="00500F06">
      <w:pPr>
        <w:pStyle w:val="Title"/>
        <w:jc w:val="center"/>
      </w:pPr>
      <w:r>
        <w:t>Job Description</w:t>
      </w:r>
    </w:p>
    <w:p w14:paraId="3A57CF88" w14:textId="55C1573E" w:rsidR="00176F21" w:rsidRDefault="00176F21" w:rsidP="001D5881"/>
    <w:tbl>
      <w:tblPr>
        <w:tblStyle w:val="TableGrid"/>
        <w:tblW w:w="9351" w:type="dxa"/>
        <w:tblLayout w:type="fixed"/>
        <w:tblLook w:val="0020" w:firstRow="1" w:lastRow="0" w:firstColumn="0" w:lastColumn="0" w:noHBand="0" w:noVBand="0"/>
      </w:tblPr>
      <w:tblGrid>
        <w:gridCol w:w="1838"/>
        <w:gridCol w:w="7513"/>
      </w:tblGrid>
      <w:tr w:rsidR="00176F21" w:rsidRPr="00DE65BD" w14:paraId="1742C5DA" w14:textId="77777777" w:rsidTr="491D0E50">
        <w:tc>
          <w:tcPr>
            <w:tcW w:w="1838"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7513" w:type="dxa"/>
          </w:tcPr>
          <w:p w14:paraId="1EED78DF" w14:textId="05AE8DD7" w:rsidR="00176F21" w:rsidRPr="00DE65BD" w:rsidRDefault="006216ED" w:rsidP="03304795">
            <w:pPr>
              <w:widowControl w:val="0"/>
              <w:spacing w:before="120" w:after="120"/>
              <w:jc w:val="both"/>
              <w:rPr>
                <w:rFonts w:eastAsia="Times New Roman"/>
                <w:snapToGrid w:val="0"/>
                <w:lang w:eastAsia="en-US"/>
              </w:rPr>
            </w:pPr>
            <w:r w:rsidRPr="03304795">
              <w:rPr>
                <w:rFonts w:eastAsia="Times New Roman"/>
                <w:snapToGrid w:val="0"/>
                <w:lang w:eastAsia="en-US"/>
              </w:rPr>
              <w:t>Head of Employment Policy and Practice </w:t>
            </w:r>
          </w:p>
        </w:tc>
      </w:tr>
      <w:tr w:rsidR="00176F21" w:rsidRPr="00DE65BD" w14:paraId="522FADC2" w14:textId="77777777" w:rsidTr="491D0E50">
        <w:tc>
          <w:tcPr>
            <w:tcW w:w="1838" w:type="dxa"/>
          </w:tcPr>
          <w:p w14:paraId="77ACF091" w14:textId="77777777" w:rsidR="00176F21" w:rsidRPr="00DE65BD" w:rsidRDefault="00176F2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GRADE:</w:t>
            </w:r>
          </w:p>
        </w:tc>
        <w:tc>
          <w:tcPr>
            <w:tcW w:w="7513" w:type="dxa"/>
          </w:tcPr>
          <w:p w14:paraId="4095E99B" w14:textId="3D6B5FE4" w:rsidR="00176F21" w:rsidRPr="00D6272E" w:rsidRDefault="1F01A50C" w:rsidP="03304795">
            <w:pPr>
              <w:widowControl w:val="0"/>
              <w:spacing w:before="120" w:after="120"/>
              <w:ind w:left="-18"/>
              <w:jc w:val="both"/>
              <w:rPr>
                <w:rFonts w:eastAsia="Times New Roman"/>
                <w:snapToGrid w:val="0"/>
                <w:lang w:eastAsia="en-US"/>
              </w:rPr>
            </w:pPr>
            <w:r w:rsidRPr="491D0E50">
              <w:rPr>
                <w:rFonts w:eastAsia="Times New Roman"/>
                <w:lang w:eastAsia="en-US"/>
              </w:rPr>
              <w:t>Grade P</w:t>
            </w:r>
          </w:p>
        </w:tc>
      </w:tr>
      <w:tr w:rsidR="00176F21" w:rsidRPr="00DE65BD" w14:paraId="26C3EA86" w14:textId="77777777" w:rsidTr="491D0E50">
        <w:tc>
          <w:tcPr>
            <w:tcW w:w="1838" w:type="dxa"/>
          </w:tcPr>
          <w:p w14:paraId="0A29CC23" w14:textId="77777777" w:rsidR="00176F21" w:rsidRPr="00D6272E" w:rsidRDefault="00176F2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POST NUMBER:</w:t>
            </w:r>
          </w:p>
        </w:tc>
        <w:tc>
          <w:tcPr>
            <w:tcW w:w="7513" w:type="dxa"/>
          </w:tcPr>
          <w:p w14:paraId="00891A55" w14:textId="3AC39FD5" w:rsidR="00176F21" w:rsidRPr="00D6272E" w:rsidRDefault="00176F21" w:rsidP="03304795">
            <w:pPr>
              <w:widowControl w:val="0"/>
              <w:spacing w:before="120" w:after="120"/>
              <w:ind w:left="-18"/>
              <w:jc w:val="both"/>
              <w:rPr>
                <w:rFonts w:eastAsia="Times New Roman"/>
                <w:snapToGrid w:val="0"/>
                <w:lang w:eastAsia="en-US"/>
              </w:rPr>
            </w:pPr>
          </w:p>
        </w:tc>
      </w:tr>
      <w:tr w:rsidR="00176F21" w:rsidRPr="00DE65BD" w14:paraId="5F102197" w14:textId="77777777" w:rsidTr="491D0E50">
        <w:tc>
          <w:tcPr>
            <w:tcW w:w="1838" w:type="dxa"/>
          </w:tcPr>
          <w:p w14:paraId="4508E0A3" w14:textId="77777777" w:rsidR="00176F21" w:rsidRPr="00DE65BD" w:rsidRDefault="00176F2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DIRECTORATE:</w:t>
            </w:r>
          </w:p>
        </w:tc>
        <w:tc>
          <w:tcPr>
            <w:tcW w:w="7513" w:type="dxa"/>
          </w:tcPr>
          <w:p w14:paraId="009E96E9" w14:textId="1739D377" w:rsidR="00176F21" w:rsidRPr="00D6272E" w:rsidRDefault="006216ED" w:rsidP="03304795">
            <w:pPr>
              <w:widowControl w:val="0"/>
              <w:tabs>
                <w:tab w:val="left" w:pos="1150"/>
              </w:tabs>
              <w:spacing w:before="120" w:after="120"/>
              <w:ind w:left="-18"/>
              <w:jc w:val="both"/>
              <w:rPr>
                <w:rFonts w:eastAsia="Times New Roman"/>
                <w:snapToGrid w:val="0"/>
                <w:lang w:eastAsia="en-US"/>
              </w:rPr>
            </w:pPr>
            <w:r w:rsidRPr="03304795">
              <w:rPr>
                <w:rFonts w:eastAsia="Times New Roman"/>
                <w:snapToGrid w:val="0"/>
                <w:lang w:eastAsia="en-US"/>
              </w:rPr>
              <w:t>Resources</w:t>
            </w:r>
          </w:p>
        </w:tc>
      </w:tr>
      <w:tr w:rsidR="00696861" w:rsidRPr="00DE65BD" w14:paraId="1C971315" w14:textId="77777777" w:rsidTr="491D0E50">
        <w:tc>
          <w:tcPr>
            <w:tcW w:w="1838" w:type="dxa"/>
          </w:tcPr>
          <w:p w14:paraId="516172C3" w14:textId="44AA0C9E" w:rsidR="00696861" w:rsidRDefault="0069686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SERVICE:</w:t>
            </w:r>
          </w:p>
        </w:tc>
        <w:tc>
          <w:tcPr>
            <w:tcW w:w="7513" w:type="dxa"/>
          </w:tcPr>
          <w:p w14:paraId="227C7B68" w14:textId="642B95C4" w:rsidR="00696861" w:rsidRDefault="006216ED" w:rsidP="03304795">
            <w:pPr>
              <w:widowControl w:val="0"/>
              <w:spacing w:before="120" w:after="120"/>
              <w:jc w:val="both"/>
              <w:rPr>
                <w:rFonts w:eastAsia="Times New Roman"/>
                <w:snapToGrid w:val="0"/>
                <w:lang w:eastAsia="en-US"/>
              </w:rPr>
            </w:pPr>
            <w:r w:rsidRPr="03304795">
              <w:rPr>
                <w:rFonts w:eastAsia="Times New Roman"/>
                <w:snapToGrid w:val="0"/>
                <w:lang w:eastAsia="en-US"/>
              </w:rPr>
              <w:t>Human Resources &amp; Organisational Development (HR &amp; OD) </w:t>
            </w:r>
          </w:p>
        </w:tc>
      </w:tr>
      <w:tr w:rsidR="00176F21" w:rsidRPr="00DE65BD" w14:paraId="5B7DAB38" w14:textId="77777777" w:rsidTr="491D0E50">
        <w:tc>
          <w:tcPr>
            <w:tcW w:w="1838" w:type="dxa"/>
          </w:tcPr>
          <w:p w14:paraId="08E5797F" w14:textId="5674E108" w:rsidR="00176F21" w:rsidRPr="00DE65BD" w:rsidRDefault="00176F2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RESPONSIBLE TO</w:t>
            </w:r>
            <w:r w:rsidRPr="00DE65BD">
              <w:rPr>
                <w:rFonts w:eastAsia="Times New Roman"/>
                <w:snapToGrid w:val="0"/>
                <w:szCs w:val="20"/>
                <w:lang w:eastAsia="en-US"/>
              </w:rPr>
              <w:tab/>
            </w:r>
            <w:r w:rsidR="0010670B" w:rsidRPr="03304795">
              <w:rPr>
                <w:rFonts w:eastAsia="Times New Roman"/>
                <w:snapToGrid w:val="0"/>
                <w:sz w:val="20"/>
                <w:szCs w:val="20"/>
                <w:lang w:eastAsia="en-US"/>
              </w:rPr>
              <w:t>:</w:t>
            </w:r>
          </w:p>
        </w:tc>
        <w:tc>
          <w:tcPr>
            <w:tcW w:w="7513" w:type="dxa"/>
          </w:tcPr>
          <w:p w14:paraId="6672C1B2" w14:textId="67C011C1" w:rsidR="00176F21" w:rsidRPr="00D6272E" w:rsidRDefault="006216ED" w:rsidP="03304795">
            <w:pPr>
              <w:widowControl w:val="0"/>
              <w:spacing w:before="120" w:after="120"/>
              <w:ind w:left="-18"/>
              <w:jc w:val="both"/>
              <w:rPr>
                <w:rFonts w:eastAsia="Times New Roman"/>
                <w:snapToGrid w:val="0"/>
                <w:lang w:eastAsia="en-US"/>
              </w:rPr>
            </w:pPr>
            <w:r w:rsidRPr="03304795">
              <w:rPr>
                <w:rFonts w:eastAsia="Times New Roman"/>
                <w:snapToGrid w:val="0"/>
                <w:lang w:eastAsia="en-US"/>
              </w:rPr>
              <w:t>Director of HR &amp; OD </w:t>
            </w:r>
          </w:p>
        </w:tc>
      </w:tr>
      <w:tr w:rsidR="00176F21" w:rsidRPr="00DE65BD" w14:paraId="52065905" w14:textId="77777777" w:rsidTr="491D0E50">
        <w:tc>
          <w:tcPr>
            <w:tcW w:w="1838" w:type="dxa"/>
          </w:tcPr>
          <w:p w14:paraId="7F1E7036" w14:textId="1E5FA620" w:rsidR="00176F21" w:rsidRPr="00DE65BD" w:rsidRDefault="0010670B"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RESPONSIBLE FOR:</w:t>
            </w:r>
          </w:p>
        </w:tc>
        <w:tc>
          <w:tcPr>
            <w:tcW w:w="7513" w:type="dxa"/>
          </w:tcPr>
          <w:p w14:paraId="42277C73" w14:textId="77777777" w:rsidR="004D442F" w:rsidRPr="004D442F" w:rsidRDefault="004D442F" w:rsidP="00580B27">
            <w:pPr>
              <w:spacing w:before="14" w:line="276" w:lineRule="auto"/>
              <w:rPr>
                <w:iCs/>
                <w:color w:val="000000" w:themeColor="text1"/>
              </w:rPr>
            </w:pPr>
            <w:r w:rsidRPr="004D442F">
              <w:rPr>
                <w:iCs/>
                <w:color w:val="000000" w:themeColor="text1"/>
              </w:rPr>
              <w:t>Trade Union Relationships </w:t>
            </w:r>
          </w:p>
          <w:p w14:paraId="6A657A01" w14:textId="403CDDF8" w:rsidR="00176F21" w:rsidRPr="004D442F" w:rsidRDefault="004D442F" w:rsidP="03304795">
            <w:pPr>
              <w:spacing w:before="14" w:line="276" w:lineRule="auto"/>
              <w:rPr>
                <w:color w:val="000000" w:themeColor="text1"/>
              </w:rPr>
            </w:pPr>
            <w:r w:rsidRPr="03304795">
              <w:rPr>
                <w:color w:val="000000" w:themeColor="text1"/>
              </w:rPr>
              <w:t xml:space="preserve">Employee </w:t>
            </w:r>
            <w:r w:rsidR="60CBD7B9" w:rsidRPr="03304795">
              <w:rPr>
                <w:color w:val="000000" w:themeColor="text1"/>
              </w:rPr>
              <w:t>R</w:t>
            </w:r>
            <w:r w:rsidRPr="03304795">
              <w:rPr>
                <w:color w:val="000000" w:themeColor="text1"/>
              </w:rPr>
              <w:t>elations, Employment Policy, Employee Practice and</w:t>
            </w:r>
            <w:r w:rsidR="39C634C1" w:rsidRPr="03304795">
              <w:rPr>
                <w:color w:val="000000" w:themeColor="text1"/>
              </w:rPr>
              <w:t xml:space="preserve"> </w:t>
            </w:r>
            <w:r w:rsidR="005D4F38">
              <w:rPr>
                <w:color w:val="000000" w:themeColor="text1"/>
              </w:rPr>
              <w:t>O</w:t>
            </w:r>
            <w:r w:rsidRPr="03304795">
              <w:rPr>
                <w:color w:val="000000" w:themeColor="text1"/>
              </w:rPr>
              <w:t>perations teams</w:t>
            </w:r>
          </w:p>
        </w:tc>
      </w:tr>
      <w:tr w:rsidR="00176F21" w:rsidRPr="00DE65BD" w14:paraId="27B1BFE1" w14:textId="77777777" w:rsidTr="491D0E50">
        <w:tc>
          <w:tcPr>
            <w:tcW w:w="1838" w:type="dxa"/>
          </w:tcPr>
          <w:p w14:paraId="5891FACB" w14:textId="61B94F5B" w:rsidR="00176F21" w:rsidRDefault="5B11C007" w:rsidP="03304795">
            <w:pPr>
              <w:widowControl w:val="0"/>
              <w:spacing w:before="120" w:after="120"/>
              <w:jc w:val="both"/>
              <w:rPr>
                <w:rFonts w:eastAsia="Times New Roman"/>
                <w:b/>
                <w:bCs/>
                <w:snapToGrid w:val="0"/>
                <w:sz w:val="20"/>
                <w:szCs w:val="20"/>
                <w:lang w:eastAsia="en-US"/>
              </w:rPr>
            </w:pPr>
            <w:r w:rsidRPr="03304795">
              <w:rPr>
                <w:rFonts w:eastAsia="Times New Roman"/>
                <w:b/>
                <w:bCs/>
                <w:sz w:val="20"/>
                <w:szCs w:val="20"/>
                <w:lang w:eastAsia="en-US"/>
              </w:rPr>
              <w:t>RESTRICTIONS</w:t>
            </w:r>
          </w:p>
          <w:p w14:paraId="3D81F911" w14:textId="77777777" w:rsidR="00176F21" w:rsidRPr="00DE65BD" w:rsidRDefault="00176F21" w:rsidP="03304795">
            <w:pPr>
              <w:widowControl w:val="0"/>
              <w:spacing w:before="120" w:after="120"/>
              <w:jc w:val="both"/>
              <w:rPr>
                <w:rFonts w:eastAsia="Times New Roman"/>
                <w:b/>
                <w:bCs/>
                <w:snapToGrid w:val="0"/>
                <w:color w:val="FF0000"/>
                <w:sz w:val="20"/>
                <w:szCs w:val="20"/>
                <w:lang w:eastAsia="en-US"/>
              </w:rPr>
            </w:pPr>
          </w:p>
        </w:tc>
        <w:tc>
          <w:tcPr>
            <w:tcW w:w="7513" w:type="dxa"/>
          </w:tcPr>
          <w:p w14:paraId="11C8B5D3" w14:textId="77777777" w:rsidR="009E20CD" w:rsidRDefault="007F6927" w:rsidP="004D442F">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This post is politically restricte</w:t>
            </w:r>
            <w:r w:rsidR="004D442F">
              <w:rPr>
                <w:rFonts w:eastAsia="Times New Roman"/>
                <w:b/>
                <w:bCs/>
                <w:snapToGrid w:val="0"/>
                <w:lang w:eastAsia="en-US"/>
              </w:rPr>
              <w:t>d</w:t>
            </w:r>
          </w:p>
          <w:p w14:paraId="24E60746" w14:textId="51A8F178" w:rsidR="00604888" w:rsidRPr="00604888" w:rsidRDefault="00604888" w:rsidP="004D442F">
            <w:pPr>
              <w:widowControl w:val="0"/>
              <w:tabs>
                <w:tab w:val="left" w:pos="-1440"/>
              </w:tabs>
              <w:spacing w:before="120" w:after="120"/>
              <w:jc w:val="both"/>
              <w:rPr>
                <w:rFonts w:eastAsia="Times New Roman"/>
                <w:b/>
                <w:bCs/>
                <w:snapToGrid w:val="0"/>
                <w:lang w:eastAsia="en-US"/>
              </w:rPr>
            </w:pPr>
            <w:r w:rsidRPr="00604888">
              <w:rPr>
                <w:rFonts w:eastAsia="Times New Roman"/>
                <w:b/>
                <w:bCs/>
                <w:snapToGrid w:val="0"/>
                <w:lang w:eastAsia="en-US"/>
              </w:rPr>
              <w:t>This post requires a basic DBS check.</w:t>
            </w:r>
          </w:p>
        </w:tc>
      </w:tr>
      <w:tr w:rsidR="00176F21" w:rsidRPr="00DE65BD" w14:paraId="524144B1" w14:textId="77777777" w:rsidTr="491D0E50">
        <w:tc>
          <w:tcPr>
            <w:tcW w:w="1838" w:type="dxa"/>
          </w:tcPr>
          <w:p w14:paraId="691ADE19" w14:textId="77777777" w:rsidR="00176F21" w:rsidRPr="00DE65BD" w:rsidRDefault="00176F21" w:rsidP="03304795">
            <w:pPr>
              <w:widowControl w:val="0"/>
              <w:spacing w:before="120" w:after="120"/>
              <w:jc w:val="both"/>
              <w:rPr>
                <w:rFonts w:eastAsia="Times New Roman"/>
                <w:b/>
                <w:bCs/>
                <w:snapToGrid w:val="0"/>
                <w:sz w:val="20"/>
                <w:szCs w:val="20"/>
                <w:lang w:eastAsia="en-US"/>
              </w:rPr>
            </w:pPr>
            <w:r w:rsidRPr="03304795">
              <w:rPr>
                <w:rFonts w:eastAsia="Times New Roman"/>
                <w:b/>
                <w:bCs/>
                <w:snapToGrid w:val="0"/>
                <w:sz w:val="20"/>
                <w:szCs w:val="20"/>
                <w:lang w:eastAsia="en-US"/>
              </w:rPr>
              <w:t>JOB SUMMARY:</w:t>
            </w:r>
            <w:r w:rsidRPr="00DE65BD">
              <w:rPr>
                <w:rFonts w:eastAsia="Times New Roman"/>
                <w:b/>
                <w:snapToGrid w:val="0"/>
                <w:szCs w:val="20"/>
                <w:lang w:eastAsia="en-US"/>
              </w:rPr>
              <w:tab/>
            </w:r>
          </w:p>
        </w:tc>
        <w:tc>
          <w:tcPr>
            <w:tcW w:w="7513" w:type="dxa"/>
          </w:tcPr>
          <w:p w14:paraId="7B130B3A" w14:textId="64191A2D" w:rsidR="00BE758F" w:rsidRDefault="00580B27" w:rsidP="00580B27">
            <w:pPr>
              <w:rPr>
                <w:rFonts w:eastAsia="Arial"/>
              </w:rPr>
            </w:pPr>
            <w:r w:rsidRPr="6CD2CA9E">
              <w:rPr>
                <w:rFonts w:eastAsia="Arial"/>
              </w:rPr>
              <w:t xml:space="preserve">The Head of Employment Policy and Practice </w:t>
            </w:r>
            <w:r w:rsidR="008321E2" w:rsidRPr="6CD2CA9E">
              <w:rPr>
                <w:rFonts w:eastAsia="Arial"/>
              </w:rPr>
              <w:t xml:space="preserve">is responsible for providing strategic leadership and professional </w:t>
            </w:r>
            <w:r w:rsidR="00BE758F" w:rsidRPr="6CD2CA9E">
              <w:rPr>
                <w:rFonts w:eastAsia="Arial"/>
              </w:rPr>
              <w:t xml:space="preserve">expertise </w:t>
            </w:r>
            <w:r w:rsidR="008321E2" w:rsidRPr="6CD2CA9E">
              <w:rPr>
                <w:rFonts w:eastAsia="Arial"/>
              </w:rPr>
              <w:t xml:space="preserve">in the design, implementation, embedding and </w:t>
            </w:r>
            <w:r w:rsidR="00BE758F" w:rsidRPr="6CD2CA9E">
              <w:rPr>
                <w:rFonts w:eastAsia="Arial"/>
              </w:rPr>
              <w:t xml:space="preserve">governance </w:t>
            </w:r>
            <w:r w:rsidR="008321E2" w:rsidRPr="6CD2CA9E">
              <w:rPr>
                <w:rFonts w:eastAsia="Arial"/>
              </w:rPr>
              <w:t>of the</w:t>
            </w:r>
            <w:r w:rsidR="00BE758F" w:rsidRPr="6CD2CA9E">
              <w:rPr>
                <w:rFonts w:eastAsia="Arial"/>
              </w:rPr>
              <w:t xml:space="preserve"> council’s employment framework, including employee relations, trade union engagement, employment policy, HR practice and workforce governance. This role will </w:t>
            </w:r>
            <w:r w:rsidR="0B5658B4" w:rsidRPr="6CD2CA9E">
              <w:rPr>
                <w:rFonts w:eastAsia="Arial"/>
              </w:rPr>
              <w:t>ensure HR operations prov</w:t>
            </w:r>
            <w:r w:rsidR="5193625E" w:rsidRPr="6CD2CA9E">
              <w:rPr>
                <w:rFonts w:eastAsia="Arial"/>
              </w:rPr>
              <w:t>i</w:t>
            </w:r>
            <w:r w:rsidR="0B5658B4" w:rsidRPr="6CD2CA9E">
              <w:rPr>
                <w:rFonts w:eastAsia="Arial"/>
              </w:rPr>
              <w:t xml:space="preserve">de a customer centric high quality experience for managers and employees and will also </w:t>
            </w:r>
            <w:r w:rsidR="00BE758F" w:rsidRPr="6CD2CA9E">
              <w:rPr>
                <w:rFonts w:eastAsia="Arial"/>
              </w:rPr>
              <w:t>provide</w:t>
            </w:r>
            <w:r w:rsidR="008321E2" w:rsidRPr="6CD2CA9E">
              <w:rPr>
                <w:rFonts w:eastAsia="Arial"/>
              </w:rPr>
              <w:t xml:space="preserve"> coaching, advice and challenge</w:t>
            </w:r>
            <w:r w:rsidR="74652009" w:rsidRPr="6CD2CA9E">
              <w:rPr>
                <w:rFonts w:eastAsia="Arial"/>
              </w:rPr>
              <w:t xml:space="preserve"> across the organisation</w:t>
            </w:r>
            <w:r w:rsidR="008321E2" w:rsidRPr="6CD2CA9E">
              <w:rPr>
                <w:rFonts w:eastAsia="Arial"/>
              </w:rPr>
              <w:t xml:space="preserve"> to ensure HR activities support the council’s strategic objectives, are financially sustainable, equitable, legally compliant, and effective in attracting, motivating, and retaining a high-performing workforce in a complex unionised environment.</w:t>
            </w:r>
          </w:p>
          <w:p w14:paraId="54879000" w14:textId="77777777" w:rsidR="00535D9E" w:rsidRDefault="00535D9E" w:rsidP="00580B27">
            <w:pPr>
              <w:rPr>
                <w:rFonts w:eastAsia="Arial"/>
              </w:rPr>
            </w:pPr>
          </w:p>
          <w:p w14:paraId="3A4D6D59" w14:textId="443D4CD1" w:rsidR="004A5FCC" w:rsidRPr="00580B27" w:rsidRDefault="00535D9E" w:rsidP="004A5FCC">
            <w:pPr>
              <w:rPr>
                <w:rFonts w:eastAsia="Arial"/>
              </w:rPr>
            </w:pPr>
            <w:r w:rsidRPr="00535D9E">
              <w:rPr>
                <w:rFonts w:eastAsia="Arial"/>
              </w:rPr>
              <w:t>As strategic</w:t>
            </w:r>
            <w:r>
              <w:rPr>
                <w:rFonts w:eastAsia="Arial"/>
              </w:rPr>
              <w:t xml:space="preserve"> </w:t>
            </w:r>
            <w:r w:rsidR="00A03CE3">
              <w:rPr>
                <w:rFonts w:eastAsia="Arial"/>
              </w:rPr>
              <w:t>HR</w:t>
            </w:r>
            <w:r w:rsidRPr="00535D9E">
              <w:rPr>
                <w:rFonts w:eastAsia="Arial"/>
              </w:rPr>
              <w:t xml:space="preserve"> Lead </w:t>
            </w:r>
            <w:r w:rsidR="004A5FCC">
              <w:rPr>
                <w:rFonts w:eastAsia="Arial"/>
              </w:rPr>
              <w:t>this role</w:t>
            </w:r>
            <w:r w:rsidR="004A5FCC" w:rsidRPr="00580B27">
              <w:rPr>
                <w:rFonts w:eastAsia="Arial"/>
              </w:rPr>
              <w:t xml:space="preserve"> provides authoritative leadership on employment</w:t>
            </w:r>
            <w:r w:rsidR="004A5FCC">
              <w:rPr>
                <w:rFonts w:eastAsia="Arial"/>
              </w:rPr>
              <w:t xml:space="preserve"> </w:t>
            </w:r>
            <w:r w:rsidR="004A5FCC" w:rsidRPr="00580B27">
              <w:rPr>
                <w:rFonts w:eastAsia="Arial"/>
              </w:rPr>
              <w:t>practice ensuring that people policies</w:t>
            </w:r>
            <w:r w:rsidR="0034674C">
              <w:rPr>
                <w:rFonts w:eastAsia="Arial"/>
              </w:rPr>
              <w:t xml:space="preserve"> and processes</w:t>
            </w:r>
            <w:r w:rsidR="004A5FCC" w:rsidRPr="00580B27">
              <w:rPr>
                <w:rFonts w:eastAsia="Arial"/>
              </w:rPr>
              <w:t xml:space="preserve"> are</w:t>
            </w:r>
            <w:r w:rsidR="009C1929">
              <w:rPr>
                <w:rFonts w:eastAsia="Arial"/>
              </w:rPr>
              <w:t xml:space="preserve"> applied fairly and consistently improving transparency and trust across the organisation. </w:t>
            </w:r>
            <w:r w:rsidR="004A5FCC" w:rsidRPr="00580B27">
              <w:rPr>
                <w:rFonts w:eastAsia="Arial"/>
              </w:rPr>
              <w:t xml:space="preserve"> </w:t>
            </w:r>
            <w:r w:rsidR="009C1929">
              <w:rPr>
                <w:rFonts w:eastAsia="Arial"/>
              </w:rPr>
              <w:t xml:space="preserve">The </w:t>
            </w:r>
            <w:r w:rsidR="004A5FCC" w:rsidRPr="00580B27">
              <w:rPr>
                <w:rFonts w:eastAsia="Arial"/>
              </w:rPr>
              <w:t>role ensures that managers are supported to manage people confidently and proportionately, while</w:t>
            </w:r>
            <w:r w:rsidR="004A5FCC">
              <w:rPr>
                <w:rFonts w:eastAsia="Arial"/>
              </w:rPr>
              <w:t xml:space="preserve"> proactively</w:t>
            </w:r>
            <w:r w:rsidR="004A5FCC" w:rsidRPr="00580B27">
              <w:rPr>
                <w:rFonts w:eastAsia="Arial"/>
              </w:rPr>
              <w:t xml:space="preserve"> protecting the council from legal, financial and reputational risk. </w:t>
            </w:r>
          </w:p>
          <w:p w14:paraId="3396FC58" w14:textId="77777777" w:rsidR="00535D9E" w:rsidRPr="00535D9E" w:rsidRDefault="00535D9E" w:rsidP="00535D9E">
            <w:pPr>
              <w:rPr>
                <w:rFonts w:eastAsia="Arial"/>
              </w:rPr>
            </w:pPr>
            <w:r w:rsidRPr="00535D9E">
              <w:rPr>
                <w:rFonts w:eastAsia="Arial"/>
              </w:rPr>
              <w:t> </w:t>
            </w:r>
          </w:p>
          <w:p w14:paraId="425B7C68" w14:textId="5CA60EAC" w:rsidR="00535D9E" w:rsidRPr="00535D9E" w:rsidRDefault="00535D9E" w:rsidP="00535D9E">
            <w:pPr>
              <w:rPr>
                <w:rFonts w:eastAsia="Arial"/>
              </w:rPr>
            </w:pPr>
            <w:r w:rsidRPr="491D0E50">
              <w:rPr>
                <w:rFonts w:eastAsia="Arial"/>
              </w:rPr>
              <w:t>The post holder will lead</w:t>
            </w:r>
            <w:r w:rsidR="11D6EA8D" w:rsidRPr="491D0E50">
              <w:rPr>
                <w:rFonts w:eastAsia="Arial"/>
              </w:rPr>
              <w:t xml:space="preserve"> an operational service delivery team and a</w:t>
            </w:r>
            <w:r w:rsidRPr="491D0E50">
              <w:rPr>
                <w:rFonts w:eastAsia="Arial"/>
              </w:rPr>
              <w:t xml:space="preserve"> </w:t>
            </w:r>
            <w:r w:rsidR="00175DAF" w:rsidRPr="491D0E50">
              <w:rPr>
                <w:rFonts w:eastAsia="Arial"/>
              </w:rPr>
              <w:t>team of specialists</w:t>
            </w:r>
            <w:r w:rsidRPr="491D0E50">
              <w:rPr>
                <w:rFonts w:eastAsia="Arial"/>
              </w:rPr>
              <w:t xml:space="preserve"> fostering a culture of collaboration and partnership within the council and across the sector, promoting an integrated approach to people management and ensuring the delivery of high-quality</w:t>
            </w:r>
            <w:r w:rsidR="0034674C" w:rsidRPr="491D0E50">
              <w:rPr>
                <w:rFonts w:eastAsia="Arial"/>
              </w:rPr>
              <w:t>, evidence based</w:t>
            </w:r>
            <w:r w:rsidR="009C1929" w:rsidRPr="491D0E50">
              <w:rPr>
                <w:rFonts w:eastAsia="Arial"/>
              </w:rPr>
              <w:t>,</w:t>
            </w:r>
            <w:r w:rsidR="0034674C" w:rsidRPr="491D0E50">
              <w:rPr>
                <w:rFonts w:eastAsia="Arial"/>
              </w:rPr>
              <w:t xml:space="preserve"> future focussed</w:t>
            </w:r>
            <w:r w:rsidRPr="491D0E50">
              <w:rPr>
                <w:rFonts w:eastAsia="Arial"/>
              </w:rPr>
              <w:t xml:space="preserve"> HR </w:t>
            </w:r>
            <w:r w:rsidRPr="491D0E50">
              <w:rPr>
                <w:rFonts w:eastAsia="Arial"/>
              </w:rPr>
              <w:lastRenderedPageBreak/>
              <w:t xml:space="preserve">services to enhance organisational </w:t>
            </w:r>
            <w:r w:rsidR="0034674C" w:rsidRPr="491D0E50">
              <w:rPr>
                <w:rFonts w:eastAsia="Arial"/>
              </w:rPr>
              <w:t>effectiveness</w:t>
            </w:r>
            <w:r w:rsidRPr="491D0E50">
              <w:rPr>
                <w:rFonts w:eastAsia="Arial"/>
              </w:rPr>
              <w:t>, improve consistency and deliver high performance</w:t>
            </w:r>
            <w:r w:rsidR="00E06215" w:rsidRPr="491D0E50">
              <w:rPr>
                <w:rFonts w:eastAsia="Arial"/>
              </w:rPr>
              <w:t>.</w:t>
            </w:r>
          </w:p>
          <w:p w14:paraId="1ABFFC5D" w14:textId="7935F25B" w:rsidR="006E17FE" w:rsidRPr="00580B27" w:rsidRDefault="00580B27" w:rsidP="00AA11EA">
            <w:r w:rsidRPr="6CD2CA9E">
              <w:rPr>
                <w:rFonts w:eastAsia="Arial"/>
              </w:rPr>
              <w:t xml:space="preserve">The postholder will </w:t>
            </w:r>
            <w:r w:rsidR="2FFB93BD" w:rsidRPr="6CD2CA9E">
              <w:rPr>
                <w:rFonts w:eastAsia="Arial"/>
              </w:rPr>
              <w:t xml:space="preserve">ensure that HR processes are simplified, well structured and outcomes focussed, driving the employee and manager experience and will </w:t>
            </w:r>
            <w:r w:rsidRPr="6CD2CA9E">
              <w:rPr>
                <w:rFonts w:eastAsia="Arial"/>
              </w:rPr>
              <w:t xml:space="preserve">lead and integrate Trade Union Relationships and Employee Relations team roles, bringing coherence to collective engagement, policy application and casework practice. </w:t>
            </w:r>
            <w:r w:rsidR="00E06215" w:rsidRPr="6CD2CA9E">
              <w:rPr>
                <w:rFonts w:eastAsia="Arial"/>
              </w:rPr>
              <w:t xml:space="preserve">This position plays a critical role in aligning HR strategies with </w:t>
            </w:r>
            <w:r w:rsidR="00AA11EA" w:rsidRPr="6CD2CA9E">
              <w:rPr>
                <w:rFonts w:eastAsia="Arial"/>
              </w:rPr>
              <w:t>business objectives and</w:t>
            </w:r>
            <w:r w:rsidR="00E06215" w:rsidRPr="6CD2CA9E">
              <w:rPr>
                <w:rFonts w:eastAsia="Arial"/>
              </w:rPr>
              <w:t> works across the HR&amp;OD leadership team to ensure effective management of the employee lifecycle and delivery of the strategic workforce plan aligned to the organisational strategy</w:t>
            </w:r>
          </w:p>
        </w:tc>
      </w:tr>
      <w:tr w:rsidR="00007A92" w:rsidRPr="00DE65BD" w14:paraId="25DA19E7" w14:textId="77777777" w:rsidTr="491D0E50">
        <w:tc>
          <w:tcPr>
            <w:tcW w:w="9351" w:type="dxa"/>
            <w:gridSpan w:val="2"/>
            <w:shd w:val="clear" w:color="auto" w:fill="4472C4" w:themeFill="accent1"/>
          </w:tcPr>
          <w:p w14:paraId="4F8E6C35" w14:textId="34B54278" w:rsidR="00007A92" w:rsidRPr="00007A92" w:rsidRDefault="00007A92" w:rsidP="00B04F5C">
            <w:pPr>
              <w:jc w:val="both"/>
              <w:rPr>
                <w:rFonts w:eastAsia="Arial"/>
                <w:i/>
                <w:iCs/>
                <w:color w:val="FFFFFF" w:themeColor="background1"/>
              </w:rPr>
            </w:pPr>
            <w:r w:rsidRPr="00007A92">
              <w:rPr>
                <w:rFonts w:eastAsia="Times New Roman"/>
                <w:b/>
                <w:snapToGrid w:val="0"/>
                <w:color w:val="FFFFFF" w:themeColor="background1"/>
                <w:lang w:eastAsia="en-US"/>
              </w:rPr>
              <w:lastRenderedPageBreak/>
              <w:t>ROLE REQUIREMENTS:</w:t>
            </w:r>
          </w:p>
        </w:tc>
      </w:tr>
    </w:tbl>
    <w:tbl>
      <w:tblPr>
        <w:tblStyle w:val="TableGrid"/>
        <w:tblW w:w="9346" w:type="dxa"/>
        <w:tblLook w:val="04A0" w:firstRow="1" w:lastRow="0" w:firstColumn="1" w:lastColumn="0" w:noHBand="0" w:noVBand="1"/>
      </w:tblPr>
      <w:tblGrid>
        <w:gridCol w:w="1833"/>
        <w:gridCol w:w="7513"/>
      </w:tblGrid>
      <w:tr w:rsidR="00D66214" w14:paraId="3CAAADED" w14:textId="77777777" w:rsidTr="6CD2CA9E">
        <w:tc>
          <w:tcPr>
            <w:tcW w:w="1833" w:type="dxa"/>
            <w:tcBorders>
              <w:top w:val="nil"/>
              <w:left w:val="single" w:sz="8" w:space="0" w:color="auto"/>
              <w:bottom w:val="single" w:sz="8" w:space="0" w:color="auto"/>
              <w:right w:val="single" w:sz="8" w:space="0" w:color="auto"/>
            </w:tcBorders>
            <w:vAlign w:val="center"/>
            <w:hideMark/>
          </w:tcPr>
          <w:p w14:paraId="340E29F4" w14:textId="77777777" w:rsidR="00D66214" w:rsidRDefault="00D66214" w:rsidP="00C51EA1">
            <w:pPr>
              <w:ind w:right="175"/>
            </w:pPr>
            <w:r>
              <w:t xml:space="preserve">1.    </w:t>
            </w:r>
          </w:p>
        </w:tc>
        <w:tc>
          <w:tcPr>
            <w:tcW w:w="7513" w:type="dxa"/>
            <w:tcBorders>
              <w:top w:val="nil"/>
              <w:left w:val="nil"/>
              <w:bottom w:val="single" w:sz="8" w:space="0" w:color="auto"/>
              <w:right w:val="single" w:sz="8" w:space="0" w:color="auto"/>
            </w:tcBorders>
            <w:vAlign w:val="center"/>
            <w:hideMark/>
          </w:tcPr>
          <w:p w14:paraId="1E6C52A1" w14:textId="23603754" w:rsidR="00D66214" w:rsidRDefault="003D2084" w:rsidP="00C51EA1">
            <w:r>
              <w:t>Develop, implement, embed and evolve the Council’s</w:t>
            </w:r>
            <w:r w:rsidR="00D66214">
              <w:t xml:space="preserve"> employment policy</w:t>
            </w:r>
            <w:r w:rsidR="00025EE8">
              <w:t xml:space="preserve"> and practice</w:t>
            </w:r>
            <w:r w:rsidR="00D66214">
              <w:t xml:space="preserve"> framework, ensuring it is legally robust, inclusive, accessible, up to date</w:t>
            </w:r>
            <w:r w:rsidR="000D00ED">
              <w:t>, progressive</w:t>
            </w:r>
            <w:r w:rsidR="00D66214">
              <w:t xml:space="preserve"> and aligned to</w:t>
            </w:r>
            <w:r w:rsidR="00025EE8">
              <w:t xml:space="preserve"> the</w:t>
            </w:r>
            <w:r w:rsidR="00D66214">
              <w:t xml:space="preserve"> organisational</w:t>
            </w:r>
            <w:r w:rsidR="00025EE8">
              <w:t xml:space="preserve"> strategy and MTRS </w:t>
            </w:r>
            <w:r w:rsidR="00C51EA1">
              <w:t xml:space="preserve">to deliver high performance and support long-term financial sustainability </w:t>
            </w:r>
          </w:p>
        </w:tc>
      </w:tr>
      <w:tr w:rsidR="6CD2CA9E" w14:paraId="647E2C6A" w14:textId="77777777" w:rsidTr="6CD2CA9E">
        <w:trPr>
          <w:trHeight w:val="300"/>
        </w:trPr>
        <w:tc>
          <w:tcPr>
            <w:tcW w:w="1833" w:type="dxa"/>
            <w:tcBorders>
              <w:top w:val="nil"/>
              <w:left w:val="single" w:sz="8" w:space="0" w:color="auto"/>
              <w:bottom w:val="single" w:sz="8" w:space="0" w:color="auto"/>
              <w:right w:val="single" w:sz="8" w:space="0" w:color="auto"/>
            </w:tcBorders>
            <w:vAlign w:val="center"/>
            <w:hideMark/>
          </w:tcPr>
          <w:p w14:paraId="102E416F" w14:textId="5ABCE2C0" w:rsidR="7018682E" w:rsidRDefault="7018682E" w:rsidP="6CD2CA9E">
            <w:r>
              <w:t>2</w:t>
            </w:r>
            <w:r w:rsidR="4691CB10">
              <w:t>.</w:t>
            </w:r>
          </w:p>
        </w:tc>
        <w:tc>
          <w:tcPr>
            <w:tcW w:w="7513" w:type="dxa"/>
            <w:tcBorders>
              <w:top w:val="nil"/>
              <w:left w:val="nil"/>
              <w:bottom w:val="single" w:sz="8" w:space="0" w:color="auto"/>
              <w:right w:val="single" w:sz="8" w:space="0" w:color="auto"/>
            </w:tcBorders>
            <w:vAlign w:val="center"/>
            <w:hideMark/>
          </w:tcPr>
          <w:p w14:paraId="2C750636" w14:textId="5A90824B" w:rsidR="463D3624" w:rsidRDefault="463D3624" w:rsidP="6CD2CA9E">
            <w:r>
              <w:t xml:space="preserve">Maximise the </w:t>
            </w:r>
            <w:r w:rsidR="7018682E">
              <w:t>use of HR self</w:t>
            </w:r>
            <w:r w:rsidR="42453C83">
              <w:t>-</w:t>
            </w:r>
            <w:r w:rsidR="7018682E">
              <w:t xml:space="preserve">service to drive efficiency and ensure a consistent </w:t>
            </w:r>
            <w:r w:rsidR="7800EA82">
              <w:t>and high</w:t>
            </w:r>
            <w:r w:rsidR="6FC9CD22">
              <w:t>-</w:t>
            </w:r>
            <w:r w:rsidR="7800EA82">
              <w:t xml:space="preserve">quality </w:t>
            </w:r>
            <w:r w:rsidR="7018682E">
              <w:t>user experience, undertaking quality assurance to ensure</w:t>
            </w:r>
            <w:r w:rsidR="17D98402">
              <w:t xml:space="preserve"> all employment records are complete and held in accordance with IG and data protection legislative requirements</w:t>
            </w:r>
          </w:p>
        </w:tc>
      </w:tr>
      <w:tr w:rsidR="00A108C7" w14:paraId="1610BABD" w14:textId="77777777" w:rsidTr="6CD2CA9E">
        <w:tc>
          <w:tcPr>
            <w:tcW w:w="1833" w:type="dxa"/>
            <w:tcBorders>
              <w:top w:val="nil"/>
              <w:left w:val="single" w:sz="8" w:space="0" w:color="auto"/>
              <w:bottom w:val="single" w:sz="8" w:space="0" w:color="auto"/>
              <w:right w:val="single" w:sz="8" w:space="0" w:color="auto"/>
            </w:tcBorders>
            <w:vAlign w:val="center"/>
            <w:hideMark/>
          </w:tcPr>
          <w:p w14:paraId="36ABDDCB" w14:textId="1CB6886B" w:rsidR="00A108C7" w:rsidRDefault="48272649" w:rsidP="00C51EA1">
            <w:pPr>
              <w:ind w:right="175"/>
            </w:pPr>
            <w:r>
              <w:t>3</w:t>
            </w:r>
            <w:r w:rsidR="11DCAD94">
              <w:t xml:space="preserve">.    </w:t>
            </w:r>
          </w:p>
        </w:tc>
        <w:tc>
          <w:tcPr>
            <w:tcW w:w="7513" w:type="dxa"/>
            <w:tcBorders>
              <w:top w:val="nil"/>
              <w:left w:val="nil"/>
              <w:bottom w:val="single" w:sz="8" w:space="0" w:color="auto"/>
              <w:right w:val="single" w:sz="8" w:space="0" w:color="auto"/>
            </w:tcBorders>
            <w:vAlign w:val="center"/>
            <w:hideMark/>
          </w:tcPr>
          <w:p w14:paraId="7A688058" w14:textId="0DFAA551" w:rsidR="00A108C7" w:rsidRDefault="7F879B5A" w:rsidP="00C51EA1">
            <w:r>
              <w:t>Build organisational capability and capacity relating to employment policy and practice</w:t>
            </w:r>
            <w:r w:rsidR="09060ACB">
              <w:t>, p</w:t>
            </w:r>
            <w:r w:rsidR="11DCAD94">
              <w:t>rovid</w:t>
            </w:r>
            <w:r>
              <w:t xml:space="preserve">ing </w:t>
            </w:r>
            <w:r w:rsidR="35D8AB02">
              <w:t xml:space="preserve">professional advice, coaching and challenge to the Corporate Leadership Team, Members, leaders, managers and other senior stakeholders as required. </w:t>
            </w:r>
          </w:p>
        </w:tc>
      </w:tr>
      <w:tr w:rsidR="00A108C7" w14:paraId="09B8490F" w14:textId="77777777" w:rsidTr="6CD2CA9E">
        <w:tc>
          <w:tcPr>
            <w:tcW w:w="1833" w:type="dxa"/>
            <w:tcBorders>
              <w:top w:val="nil"/>
              <w:left w:val="single" w:sz="8" w:space="0" w:color="auto"/>
              <w:bottom w:val="single" w:sz="8" w:space="0" w:color="auto"/>
              <w:right w:val="single" w:sz="8" w:space="0" w:color="auto"/>
            </w:tcBorders>
            <w:vAlign w:val="center"/>
            <w:hideMark/>
          </w:tcPr>
          <w:p w14:paraId="172C9EBB" w14:textId="78912E03" w:rsidR="00A108C7" w:rsidRDefault="78D22BFB" w:rsidP="00C51EA1">
            <w:pPr>
              <w:ind w:right="175"/>
            </w:pPr>
            <w:r>
              <w:t>4</w:t>
            </w:r>
            <w:r w:rsidR="11DCAD94">
              <w:t xml:space="preserve">.    </w:t>
            </w:r>
          </w:p>
        </w:tc>
        <w:tc>
          <w:tcPr>
            <w:tcW w:w="7513" w:type="dxa"/>
            <w:tcBorders>
              <w:top w:val="nil"/>
              <w:left w:val="nil"/>
              <w:bottom w:val="single" w:sz="8" w:space="0" w:color="auto"/>
              <w:right w:val="single" w:sz="8" w:space="0" w:color="auto"/>
            </w:tcBorders>
            <w:vAlign w:val="center"/>
            <w:hideMark/>
          </w:tcPr>
          <w:p w14:paraId="25D223E8" w14:textId="7BE29CBE" w:rsidR="00A108C7" w:rsidRDefault="00A108C7" w:rsidP="00C51EA1">
            <w:r>
              <w:t>Lead the council’s employee relations approach, setting professional standards, decision-making thresholds and escalation routes to ensure timely, proportionate and robust handling of complex and high-risk ER matter</w:t>
            </w:r>
            <w:r w:rsidR="00DD0A05">
              <w:t>s to mitigate and manage risk and safeguard the Council’s reputation</w:t>
            </w:r>
          </w:p>
        </w:tc>
      </w:tr>
      <w:tr w:rsidR="00A108C7" w14:paraId="5C4D9EC4" w14:textId="77777777" w:rsidTr="6CD2CA9E">
        <w:tc>
          <w:tcPr>
            <w:tcW w:w="1833" w:type="dxa"/>
            <w:tcBorders>
              <w:top w:val="nil"/>
              <w:left w:val="single" w:sz="8" w:space="0" w:color="auto"/>
              <w:bottom w:val="single" w:sz="8" w:space="0" w:color="auto"/>
              <w:right w:val="single" w:sz="8" w:space="0" w:color="auto"/>
            </w:tcBorders>
            <w:vAlign w:val="center"/>
            <w:hideMark/>
          </w:tcPr>
          <w:p w14:paraId="7FD136DA" w14:textId="1DBC0FB7" w:rsidR="00A108C7" w:rsidRDefault="062DDFCF" w:rsidP="00C51EA1">
            <w:pPr>
              <w:ind w:right="175"/>
            </w:pPr>
            <w:r>
              <w:t>5</w:t>
            </w:r>
            <w:r w:rsidR="11DCAD94">
              <w:t xml:space="preserve">.    </w:t>
            </w:r>
          </w:p>
        </w:tc>
        <w:tc>
          <w:tcPr>
            <w:tcW w:w="7513" w:type="dxa"/>
            <w:tcBorders>
              <w:top w:val="nil"/>
              <w:left w:val="nil"/>
              <w:bottom w:val="single" w:sz="8" w:space="0" w:color="auto"/>
              <w:right w:val="single" w:sz="8" w:space="0" w:color="auto"/>
            </w:tcBorders>
            <w:vAlign w:val="center"/>
            <w:hideMark/>
          </w:tcPr>
          <w:p w14:paraId="18324A00" w14:textId="21CB09C6" w:rsidR="00A108C7" w:rsidRDefault="005C0F4F" w:rsidP="005C0F4F">
            <w:r w:rsidRPr="005C0F4F">
              <w:t xml:space="preserve">Drive a data-led, outcomes-based approach to </w:t>
            </w:r>
            <w:r>
              <w:t>employment policy, employment practice and employee relations</w:t>
            </w:r>
            <w:r w:rsidRPr="005C0F4F">
              <w:t xml:space="preserve"> shifting from demand-led HR to predictive and preventative workforce strategies, underpinned by workforce analytics, </w:t>
            </w:r>
            <w:r>
              <w:t xml:space="preserve">baselining, </w:t>
            </w:r>
            <w:r w:rsidRPr="005C0F4F">
              <w:t>benchmarking and evaluation to inform clear recommendations for corporate decision-making and risk management</w:t>
            </w:r>
            <w:r>
              <w:t xml:space="preserve">, shifting the </w:t>
            </w:r>
            <w:r w:rsidR="00A108C7">
              <w:t>approach from reactive casework to preventative workforce risk management.</w:t>
            </w:r>
          </w:p>
        </w:tc>
      </w:tr>
      <w:tr w:rsidR="00A108C7" w14:paraId="0E820F7A" w14:textId="77777777" w:rsidTr="6CD2CA9E">
        <w:tc>
          <w:tcPr>
            <w:tcW w:w="1833" w:type="dxa"/>
            <w:tcBorders>
              <w:top w:val="nil"/>
              <w:left w:val="single" w:sz="8" w:space="0" w:color="auto"/>
              <w:bottom w:val="single" w:sz="8" w:space="0" w:color="auto"/>
              <w:right w:val="single" w:sz="8" w:space="0" w:color="auto"/>
            </w:tcBorders>
            <w:vAlign w:val="center"/>
            <w:hideMark/>
          </w:tcPr>
          <w:p w14:paraId="36E277E5" w14:textId="5AAB4D33" w:rsidR="00A108C7" w:rsidRDefault="6D7A25E2" w:rsidP="00C51EA1">
            <w:pPr>
              <w:ind w:right="175"/>
            </w:pPr>
            <w:r>
              <w:t>6</w:t>
            </w:r>
            <w:r w:rsidR="11DCAD94">
              <w:t xml:space="preserve">.    </w:t>
            </w:r>
          </w:p>
        </w:tc>
        <w:tc>
          <w:tcPr>
            <w:tcW w:w="7513" w:type="dxa"/>
            <w:tcBorders>
              <w:top w:val="nil"/>
              <w:left w:val="nil"/>
              <w:bottom w:val="single" w:sz="8" w:space="0" w:color="auto"/>
              <w:right w:val="single" w:sz="8" w:space="0" w:color="auto"/>
            </w:tcBorders>
            <w:vAlign w:val="center"/>
            <w:hideMark/>
          </w:tcPr>
          <w:p w14:paraId="291E67D5" w14:textId="6F758631" w:rsidR="00A108C7" w:rsidRDefault="00A108C7" w:rsidP="00C51EA1">
            <w:r>
              <w:t>Lead constructive, lawful and outcomes-focused trade union relations, planning and delivering effective collective consultation and negotiation while balancing partnership with firm governance and organisational accountability.</w:t>
            </w:r>
            <w:r w:rsidR="000D00ED">
              <w:t xml:space="preserve"> Provide assurance to senior leaders on employment-related risk through robust governance, documentation and audit trails, ensuring compliance with professional standards, employment law and national/local agreements.</w:t>
            </w:r>
          </w:p>
        </w:tc>
      </w:tr>
      <w:tr w:rsidR="00A108C7" w14:paraId="6EA94FBA" w14:textId="77777777" w:rsidTr="6CD2CA9E">
        <w:trPr>
          <w:trHeight w:val="547"/>
        </w:trPr>
        <w:tc>
          <w:tcPr>
            <w:tcW w:w="1833" w:type="dxa"/>
            <w:tcBorders>
              <w:top w:val="nil"/>
              <w:left w:val="single" w:sz="8" w:space="0" w:color="auto"/>
              <w:bottom w:val="single" w:sz="8" w:space="0" w:color="auto"/>
              <w:right w:val="single" w:sz="8" w:space="0" w:color="auto"/>
            </w:tcBorders>
            <w:vAlign w:val="center"/>
            <w:hideMark/>
          </w:tcPr>
          <w:p w14:paraId="419B2113" w14:textId="081F1828" w:rsidR="00A108C7" w:rsidRDefault="5084137F" w:rsidP="00C51EA1">
            <w:pPr>
              <w:ind w:right="175"/>
            </w:pPr>
            <w:r>
              <w:t>7</w:t>
            </w:r>
            <w:r w:rsidR="11DCAD94">
              <w:t xml:space="preserve">.    </w:t>
            </w:r>
          </w:p>
        </w:tc>
        <w:tc>
          <w:tcPr>
            <w:tcW w:w="7513" w:type="dxa"/>
            <w:tcBorders>
              <w:top w:val="nil"/>
              <w:left w:val="nil"/>
              <w:bottom w:val="single" w:sz="8" w:space="0" w:color="auto"/>
              <w:right w:val="single" w:sz="8" w:space="0" w:color="auto"/>
            </w:tcBorders>
            <w:vAlign w:val="center"/>
            <w:hideMark/>
          </w:tcPr>
          <w:p w14:paraId="7750B7D5" w14:textId="6CF88CDB" w:rsidR="00A108C7" w:rsidRDefault="008F1634" w:rsidP="00C51EA1">
            <w:r>
              <w:t xml:space="preserve">Develop, implement, </w:t>
            </w:r>
            <w:r w:rsidR="00490972">
              <w:t>embed and evolve timely accurate and user centred processes, working with the Head of Pay reward and performance</w:t>
            </w:r>
            <w:r w:rsidR="00B13222">
              <w:t xml:space="preserve">, </w:t>
            </w:r>
            <w:r w:rsidR="00490972">
              <w:t xml:space="preserve">payroll </w:t>
            </w:r>
            <w:r w:rsidR="00B13222">
              <w:t xml:space="preserve">and the Head of resourcing, HR systems and </w:t>
            </w:r>
            <w:r w:rsidR="00B13222">
              <w:lastRenderedPageBreak/>
              <w:t xml:space="preserve">contracts </w:t>
            </w:r>
            <w:r w:rsidR="00490972">
              <w:t xml:space="preserve">to ensure </w:t>
            </w:r>
            <w:r w:rsidR="00CB4C98">
              <w:t>cohesion and support modernisation of HR&amp;OD services</w:t>
            </w:r>
          </w:p>
        </w:tc>
      </w:tr>
      <w:tr w:rsidR="00A108C7" w14:paraId="0D5560B8" w14:textId="77777777" w:rsidTr="6CD2CA9E">
        <w:tc>
          <w:tcPr>
            <w:tcW w:w="1833" w:type="dxa"/>
            <w:tcBorders>
              <w:top w:val="nil"/>
              <w:left w:val="single" w:sz="8" w:space="0" w:color="auto"/>
              <w:bottom w:val="single" w:sz="8" w:space="0" w:color="auto"/>
              <w:right w:val="single" w:sz="8" w:space="0" w:color="auto"/>
            </w:tcBorders>
            <w:vAlign w:val="center"/>
            <w:hideMark/>
          </w:tcPr>
          <w:p w14:paraId="57F4EAD3" w14:textId="41715600" w:rsidR="00A108C7" w:rsidRDefault="54D9AB1E" w:rsidP="00C51EA1">
            <w:pPr>
              <w:ind w:right="175"/>
            </w:pPr>
            <w:r>
              <w:lastRenderedPageBreak/>
              <w:t>8</w:t>
            </w:r>
            <w:r w:rsidR="11DCAD94">
              <w:t xml:space="preserve">.    </w:t>
            </w:r>
          </w:p>
        </w:tc>
        <w:tc>
          <w:tcPr>
            <w:tcW w:w="7513" w:type="dxa"/>
            <w:tcBorders>
              <w:top w:val="nil"/>
              <w:left w:val="nil"/>
              <w:bottom w:val="single" w:sz="8" w:space="0" w:color="auto"/>
              <w:right w:val="single" w:sz="8" w:space="0" w:color="auto"/>
            </w:tcBorders>
            <w:vAlign w:val="center"/>
            <w:hideMark/>
          </w:tcPr>
          <w:p w14:paraId="69E18FC5" w14:textId="36A9B5E7" w:rsidR="00A108C7" w:rsidRDefault="00C567E3" w:rsidP="00C51EA1">
            <w:r w:rsidRPr="00C567E3">
              <w:t xml:space="preserve">Partner with the Head of </w:t>
            </w:r>
            <w:r>
              <w:t>HR Business Partnering</w:t>
            </w:r>
            <w:r w:rsidRPr="00C567E3">
              <w:t xml:space="preserve"> to ensure HR practice is inclusive, sector leading, legally sound, ethically robust and compliant with the council’s public sector equality duties, relevant regulations, council policies/procedures and changes to employment legislation identifying opportunities for simplification and standardisation to improve the user experience and consistent application across the organisation</w:t>
            </w:r>
          </w:p>
        </w:tc>
      </w:tr>
      <w:tr w:rsidR="00A108C7" w14:paraId="6E1DF7A6" w14:textId="77777777" w:rsidTr="6CD2CA9E">
        <w:tc>
          <w:tcPr>
            <w:tcW w:w="1833" w:type="dxa"/>
            <w:tcBorders>
              <w:top w:val="nil"/>
              <w:left w:val="single" w:sz="8" w:space="0" w:color="auto"/>
              <w:bottom w:val="single" w:sz="8" w:space="0" w:color="auto"/>
              <w:right w:val="single" w:sz="8" w:space="0" w:color="auto"/>
            </w:tcBorders>
            <w:vAlign w:val="center"/>
            <w:hideMark/>
          </w:tcPr>
          <w:p w14:paraId="62759C2F" w14:textId="088E9333" w:rsidR="00A108C7" w:rsidRDefault="6BFE8B44" w:rsidP="00C51EA1">
            <w:pPr>
              <w:ind w:right="175"/>
            </w:pPr>
            <w:r>
              <w:t>9</w:t>
            </w:r>
            <w:r w:rsidR="11DCAD94">
              <w:t xml:space="preserve">.    </w:t>
            </w:r>
          </w:p>
        </w:tc>
        <w:tc>
          <w:tcPr>
            <w:tcW w:w="7513" w:type="dxa"/>
            <w:tcBorders>
              <w:top w:val="nil"/>
              <w:left w:val="nil"/>
              <w:bottom w:val="single" w:sz="8" w:space="0" w:color="auto"/>
              <w:right w:val="single" w:sz="8" w:space="0" w:color="auto"/>
            </w:tcBorders>
            <w:vAlign w:val="center"/>
            <w:hideMark/>
          </w:tcPr>
          <w:p w14:paraId="54F5A093" w14:textId="7606EA2B" w:rsidR="00A108C7" w:rsidRDefault="11DCAD94" w:rsidP="6CD2CA9E">
            <w:r>
              <w:t>Work alongside the Head of Pay, Reward &amp; Performance</w:t>
            </w:r>
            <w:r w:rsidR="408ED90A">
              <w:t xml:space="preserve"> and Head of Resourcing, HR systems and Contracts to ensure systems utilisation is maximised, data quality thresholds are achieved, and</w:t>
            </w:r>
            <w:r>
              <w:t xml:space="preserve"> employment policies align with reward, progression and accountability mechanisms, including conduct, capability</w:t>
            </w:r>
            <w:r w:rsidR="1386D549">
              <w:t>, diversity, equality &amp; Inclusion and</w:t>
            </w:r>
            <w:r>
              <w:t xml:space="preserve"> performance expectations.</w:t>
            </w:r>
          </w:p>
        </w:tc>
      </w:tr>
      <w:tr w:rsidR="00A108C7" w14:paraId="60892657" w14:textId="77777777" w:rsidTr="6CD2CA9E">
        <w:tc>
          <w:tcPr>
            <w:tcW w:w="1833" w:type="dxa"/>
            <w:tcBorders>
              <w:top w:val="nil"/>
              <w:left w:val="single" w:sz="8" w:space="0" w:color="auto"/>
              <w:bottom w:val="single" w:sz="8" w:space="0" w:color="auto"/>
              <w:right w:val="single" w:sz="8" w:space="0" w:color="auto"/>
            </w:tcBorders>
            <w:vAlign w:val="center"/>
            <w:hideMark/>
          </w:tcPr>
          <w:p w14:paraId="63A4176F" w14:textId="430B8501" w:rsidR="00A108C7" w:rsidRDefault="3FAFFB30" w:rsidP="00C51EA1">
            <w:pPr>
              <w:ind w:right="175"/>
            </w:pPr>
            <w:r>
              <w:t>10</w:t>
            </w:r>
            <w:r w:rsidR="11DCAD94">
              <w:t xml:space="preserve">.    </w:t>
            </w:r>
          </w:p>
        </w:tc>
        <w:tc>
          <w:tcPr>
            <w:tcW w:w="7513" w:type="dxa"/>
            <w:tcBorders>
              <w:top w:val="nil"/>
              <w:left w:val="nil"/>
              <w:bottom w:val="single" w:sz="8" w:space="0" w:color="auto"/>
              <w:right w:val="single" w:sz="8" w:space="0" w:color="auto"/>
            </w:tcBorders>
            <w:vAlign w:val="center"/>
            <w:hideMark/>
          </w:tcPr>
          <w:p w14:paraId="2923E15B" w14:textId="2594614C" w:rsidR="00A108C7" w:rsidRDefault="760EEC1B" w:rsidP="00C51EA1">
            <w:r>
              <w:t>Provide professional leadership, line management and development to the</w:t>
            </w:r>
            <w:r w:rsidR="6D058E71">
              <w:t xml:space="preserve"> HR operations,</w:t>
            </w:r>
            <w:r>
              <w:t xml:space="preserve"> employment policy and practice, employee relations</w:t>
            </w:r>
            <w:r w:rsidR="7C0D347D">
              <w:t xml:space="preserve"> and trade union team,</w:t>
            </w:r>
            <w:r>
              <w:t xml:space="preserve"> embedding CIPD professional standards and continuous improvement to professionalise the service; coach and challenge the HR&amp;OD teams and senior leaders to adopt progressive people management practices that improve employee experience, retention and service user outcomes. </w:t>
            </w:r>
          </w:p>
        </w:tc>
      </w:tr>
      <w:tr w:rsidR="00A108C7" w14:paraId="5F5A73B3" w14:textId="77777777" w:rsidTr="6CD2CA9E">
        <w:tc>
          <w:tcPr>
            <w:tcW w:w="1833" w:type="dxa"/>
            <w:tcBorders>
              <w:top w:val="nil"/>
              <w:left w:val="single" w:sz="8" w:space="0" w:color="auto"/>
              <w:bottom w:val="single" w:sz="8" w:space="0" w:color="auto"/>
              <w:right w:val="single" w:sz="8" w:space="0" w:color="auto"/>
            </w:tcBorders>
            <w:vAlign w:val="center"/>
            <w:hideMark/>
          </w:tcPr>
          <w:p w14:paraId="4CFC1419" w14:textId="24E21BAD" w:rsidR="00A108C7" w:rsidRDefault="11DCAD94" w:rsidP="00C51EA1">
            <w:pPr>
              <w:ind w:right="175"/>
            </w:pPr>
            <w:r>
              <w:t>1</w:t>
            </w:r>
            <w:r w:rsidR="666E8A82">
              <w:t>1</w:t>
            </w:r>
            <w:r>
              <w:t xml:space="preserve">. </w:t>
            </w:r>
          </w:p>
        </w:tc>
        <w:tc>
          <w:tcPr>
            <w:tcW w:w="7513" w:type="dxa"/>
            <w:tcBorders>
              <w:top w:val="nil"/>
              <w:left w:val="nil"/>
              <w:bottom w:val="single" w:sz="8" w:space="0" w:color="auto"/>
              <w:right w:val="single" w:sz="8" w:space="0" w:color="auto"/>
            </w:tcBorders>
            <w:vAlign w:val="center"/>
            <w:hideMark/>
          </w:tcPr>
          <w:p w14:paraId="7D9BDC2C" w14:textId="77777777" w:rsidR="00A108C7" w:rsidRDefault="00A108C7" w:rsidP="00C51EA1">
            <w:r>
              <w:t>Operate as a credible senior adviser and member of the HR &amp; OD leadership team, supporting the Director of HR &amp; OD, Corporate Leadership Team and elected members as required, and modelling the council’s values and leadership behaviours.</w:t>
            </w:r>
          </w:p>
        </w:tc>
      </w:tr>
    </w:tbl>
    <w:tbl>
      <w:tblPr>
        <w:tblStyle w:val="TableGrid"/>
        <w:tblW w:w="9304" w:type="dxa"/>
        <w:tblLayout w:type="fixed"/>
        <w:tblLook w:val="0020" w:firstRow="1" w:lastRow="0" w:firstColumn="0" w:lastColumn="0" w:noHBand="0" w:noVBand="0"/>
      </w:tblPr>
      <w:tblGrid>
        <w:gridCol w:w="1838"/>
        <w:gridCol w:w="7466"/>
      </w:tblGrid>
      <w:tr w:rsidR="008D0F46" w:rsidRPr="00DE65BD" w14:paraId="19FB78F5" w14:textId="77777777" w:rsidTr="6CD2CA9E">
        <w:tc>
          <w:tcPr>
            <w:tcW w:w="9304" w:type="dxa"/>
            <w:gridSpan w:val="2"/>
            <w:shd w:val="clear" w:color="auto" w:fill="4472C4" w:themeFill="accent1"/>
          </w:tcPr>
          <w:p w14:paraId="5DA4E53F" w14:textId="44537B80" w:rsidR="008D0F46" w:rsidRPr="008D0F46" w:rsidRDefault="008D0F46" w:rsidP="009819EC">
            <w:pPr>
              <w:jc w:val="both"/>
              <w:rPr>
                <w:rFonts w:eastAsia="Times New Roman"/>
                <w:snapToGrid w:val="0"/>
                <w:color w:val="FFFFFF" w:themeColor="background1"/>
                <w:lang w:eastAsia="en-US"/>
              </w:rPr>
            </w:pPr>
            <w:r w:rsidRPr="008D0F46">
              <w:rPr>
                <w:rFonts w:eastAsia="Times New Roman"/>
                <w:b/>
                <w:bCs/>
                <w:snapToGrid w:val="0"/>
                <w:color w:val="FFFFFF" w:themeColor="background1"/>
                <w:lang w:eastAsia="en-US"/>
              </w:rPr>
              <w:t>CORPORATE RESPONSIBILITIES</w:t>
            </w:r>
          </w:p>
        </w:tc>
      </w:tr>
      <w:tr w:rsidR="00376242" w:rsidRPr="00DE65BD" w14:paraId="09065EBC" w14:textId="77777777" w:rsidTr="6CD2CA9E">
        <w:tc>
          <w:tcPr>
            <w:tcW w:w="1838" w:type="dxa"/>
          </w:tcPr>
          <w:p w14:paraId="5F5C0507" w14:textId="6A8C1C28" w:rsidR="00376242" w:rsidRPr="00AA11EA" w:rsidRDefault="2D1166F6" w:rsidP="6CD2CA9E">
            <w:pPr>
              <w:widowControl w:val="0"/>
              <w:spacing w:before="120" w:after="120"/>
              <w:ind w:right="175"/>
              <w:rPr>
                <w:rFonts w:eastAsia="Times New Roman"/>
                <w:snapToGrid w:val="0"/>
                <w:lang w:eastAsia="en-US"/>
              </w:rPr>
            </w:pPr>
            <w:r>
              <w:rPr>
                <w:rFonts w:eastAsia="Times New Roman"/>
                <w:snapToGrid w:val="0"/>
                <w:lang w:eastAsia="en-US"/>
              </w:rPr>
              <w:t>1</w:t>
            </w:r>
            <w:r w:rsidR="24DCD733">
              <w:rPr>
                <w:rFonts w:eastAsia="Times New Roman"/>
                <w:snapToGrid w:val="0"/>
                <w:lang w:eastAsia="en-US"/>
              </w:rPr>
              <w:t>2</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6839B5F5" w14:textId="32C2463E" w:rsidR="00376242" w:rsidRPr="00DE65BD" w:rsidRDefault="00376242" w:rsidP="00376242">
            <w:pPr>
              <w:rPr>
                <w:rFonts w:eastAsia="Times New Roman"/>
                <w:snapToGrid w:val="0"/>
                <w:lang w:eastAsia="en-US"/>
              </w:rPr>
            </w:pPr>
            <w:r>
              <w:rPr>
                <w:rStyle w:val="normaltextrun"/>
              </w:rPr>
              <w:t>Actively contribute to the council’s priorities and outcomes in a way that promotes a ‘one organisation’ approach. </w:t>
            </w:r>
            <w:r>
              <w:rPr>
                <w:rStyle w:val="eop"/>
              </w:rPr>
              <w:t> </w:t>
            </w:r>
          </w:p>
        </w:tc>
      </w:tr>
      <w:tr w:rsidR="00376242" w:rsidRPr="00DE65BD" w14:paraId="3F8B77B2" w14:textId="77777777" w:rsidTr="6CD2CA9E">
        <w:tc>
          <w:tcPr>
            <w:tcW w:w="1838" w:type="dxa"/>
          </w:tcPr>
          <w:p w14:paraId="546D06E5" w14:textId="4B2F91C9" w:rsidR="00376242" w:rsidRPr="00AA11EA" w:rsidRDefault="2D1166F6" w:rsidP="6CD2CA9E">
            <w:pPr>
              <w:widowControl w:val="0"/>
              <w:spacing w:before="120" w:after="120"/>
              <w:ind w:right="175"/>
              <w:rPr>
                <w:rFonts w:eastAsia="Times New Roman"/>
                <w:snapToGrid w:val="0"/>
                <w:lang w:eastAsia="en-US"/>
              </w:rPr>
            </w:pPr>
            <w:r>
              <w:rPr>
                <w:rFonts w:eastAsia="Times New Roman"/>
                <w:snapToGrid w:val="0"/>
                <w:lang w:eastAsia="en-US"/>
              </w:rPr>
              <w:t>1</w:t>
            </w:r>
            <w:r w:rsidR="540CF8FC">
              <w:rPr>
                <w:rFonts w:eastAsia="Times New Roman"/>
                <w:snapToGrid w:val="0"/>
                <w:lang w:eastAsia="en-US"/>
              </w:rPr>
              <w:t>3</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75AE6CA9" w14:textId="3C7899AF" w:rsidR="00376242" w:rsidRPr="00DE65BD" w:rsidRDefault="00376242" w:rsidP="00376242">
            <w:pPr>
              <w:rPr>
                <w:rFonts w:eastAsia="Times New Roman"/>
                <w:snapToGrid w:val="0"/>
                <w:lang w:eastAsia="en-US"/>
              </w:rPr>
            </w:pPr>
            <w:r>
              <w:rPr>
                <w:rStyle w:val="normaltextrun"/>
              </w:rPr>
              <w:t>Develop and maintain positive relationships with colleagues, stakeholders and communities to ensure the council and the directorate strategic priorities are effectively implemented. </w:t>
            </w:r>
            <w:r>
              <w:rPr>
                <w:rStyle w:val="eop"/>
              </w:rPr>
              <w:t> </w:t>
            </w:r>
          </w:p>
        </w:tc>
      </w:tr>
      <w:tr w:rsidR="00376242" w:rsidRPr="00DE65BD" w14:paraId="0719A0E9" w14:textId="77777777" w:rsidTr="6CD2CA9E">
        <w:tc>
          <w:tcPr>
            <w:tcW w:w="1838" w:type="dxa"/>
          </w:tcPr>
          <w:p w14:paraId="647BBB82" w14:textId="614CCEB0" w:rsidR="00376242" w:rsidRPr="00AA11EA" w:rsidRDefault="2D1166F6" w:rsidP="6CD2CA9E">
            <w:pPr>
              <w:widowControl w:val="0"/>
              <w:spacing w:before="120" w:after="120"/>
              <w:ind w:right="175"/>
              <w:rPr>
                <w:rFonts w:eastAsia="Times New Roman"/>
                <w:snapToGrid w:val="0"/>
                <w:lang w:eastAsia="en-US"/>
              </w:rPr>
            </w:pPr>
            <w:r>
              <w:rPr>
                <w:rFonts w:eastAsia="Times New Roman"/>
                <w:snapToGrid w:val="0"/>
                <w:lang w:eastAsia="en-US"/>
              </w:rPr>
              <w:t>1</w:t>
            </w:r>
            <w:r w:rsidR="29534AB4">
              <w:rPr>
                <w:rFonts w:eastAsia="Times New Roman"/>
                <w:snapToGrid w:val="0"/>
                <w:lang w:eastAsia="en-US"/>
              </w:rPr>
              <w:t>4</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79D54DE1" w14:textId="6EA6491C" w:rsidR="00376242" w:rsidRPr="00DE65BD" w:rsidRDefault="00376242" w:rsidP="00376242">
            <w:pPr>
              <w:rPr>
                <w:rFonts w:eastAsia="Times New Roman"/>
                <w:snapToGrid w:val="0"/>
                <w:lang w:eastAsia="en-US"/>
              </w:rPr>
            </w:pPr>
            <w:r>
              <w:rPr>
                <w:rStyle w:val="normaltextrun"/>
              </w:rPr>
              <w:t>Promote equality among all staff and ensure that services are delivered in a non-discriminatory way, that is inclusive of all disadvantaged groups. </w:t>
            </w:r>
            <w:r>
              <w:rPr>
                <w:rStyle w:val="eop"/>
              </w:rPr>
              <w:t> </w:t>
            </w:r>
          </w:p>
        </w:tc>
      </w:tr>
      <w:tr w:rsidR="00376242" w:rsidRPr="00DE65BD" w14:paraId="5B0856CE" w14:textId="77777777" w:rsidTr="6CD2CA9E">
        <w:tc>
          <w:tcPr>
            <w:tcW w:w="1838" w:type="dxa"/>
          </w:tcPr>
          <w:p w14:paraId="7D3EBAF8" w14:textId="4A106D43" w:rsidR="00376242" w:rsidRPr="00AA11EA" w:rsidRDefault="2D1166F6" w:rsidP="6CD2CA9E">
            <w:pPr>
              <w:widowControl w:val="0"/>
              <w:spacing w:before="120" w:after="120"/>
              <w:ind w:right="175"/>
              <w:rPr>
                <w:rFonts w:eastAsia="Times New Roman"/>
                <w:snapToGrid w:val="0"/>
                <w:lang w:eastAsia="en-US"/>
              </w:rPr>
            </w:pPr>
            <w:r>
              <w:rPr>
                <w:rFonts w:eastAsia="Times New Roman"/>
                <w:snapToGrid w:val="0"/>
                <w:lang w:eastAsia="en-US"/>
              </w:rPr>
              <w:t>1</w:t>
            </w:r>
            <w:r w:rsidR="5B395EE7">
              <w:rPr>
                <w:rFonts w:eastAsia="Times New Roman"/>
                <w:snapToGrid w:val="0"/>
                <w:lang w:eastAsia="en-US"/>
              </w:rPr>
              <w:t>5</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6A97C25D" w14:textId="17B3C136" w:rsidR="00376242" w:rsidRPr="00DD1AF9" w:rsidRDefault="00376242" w:rsidP="00376242">
            <w:pPr>
              <w:rPr>
                <w:rFonts w:eastAsia="Times New Roman"/>
                <w:snapToGrid w:val="0"/>
                <w:lang w:eastAsia="en-US"/>
              </w:rPr>
            </w:pPr>
            <w:r>
              <w:rPr>
                <w:rStyle w:val="normaltextrun"/>
              </w:rPr>
              <w:t>Promote sustainability, including encouraging a culture of innovation and accountability amongst all council staff. </w:t>
            </w:r>
            <w:r>
              <w:rPr>
                <w:rStyle w:val="eop"/>
              </w:rPr>
              <w:t> </w:t>
            </w:r>
          </w:p>
        </w:tc>
      </w:tr>
      <w:tr w:rsidR="008D0F46" w:rsidRPr="00DE65BD" w14:paraId="24FAD382" w14:textId="77777777" w:rsidTr="6CD2CA9E">
        <w:tc>
          <w:tcPr>
            <w:tcW w:w="9304" w:type="dxa"/>
            <w:gridSpan w:val="2"/>
            <w:shd w:val="clear" w:color="auto" w:fill="4472C4" w:themeFill="accent1"/>
          </w:tcPr>
          <w:p w14:paraId="66D2184B" w14:textId="6BC4C0D8" w:rsidR="008D0F46" w:rsidRPr="008D0F46" w:rsidRDefault="008D0F46" w:rsidP="008D0F46">
            <w:pPr>
              <w:spacing w:before="120" w:after="120"/>
              <w:jc w:val="both"/>
              <w:rPr>
                <w:rFonts w:eastAsia="Times New Roman"/>
                <w:i/>
                <w:iCs/>
                <w:color w:val="FFFFFF" w:themeColor="background1"/>
              </w:rPr>
            </w:pPr>
            <w:r w:rsidRPr="008D0F46">
              <w:rPr>
                <w:rFonts w:eastAsia="Times New Roman"/>
                <w:b/>
                <w:bCs/>
                <w:snapToGrid w:val="0"/>
                <w:color w:val="FFFFFF" w:themeColor="background1"/>
                <w:lang w:eastAsia="en-US"/>
              </w:rPr>
              <w:t>PEOPLE</w:t>
            </w:r>
          </w:p>
        </w:tc>
      </w:tr>
      <w:tr w:rsidR="00735DB1" w:rsidRPr="00DE65BD" w14:paraId="3A5D650F" w14:textId="77777777" w:rsidTr="6CD2CA9E">
        <w:tc>
          <w:tcPr>
            <w:tcW w:w="1838" w:type="dxa"/>
          </w:tcPr>
          <w:p w14:paraId="1D4DD370" w14:textId="76CC5E3D" w:rsidR="00735DB1" w:rsidRPr="00AA11EA" w:rsidRDefault="0333868B" w:rsidP="6CD2CA9E">
            <w:pPr>
              <w:widowControl w:val="0"/>
              <w:ind w:right="175"/>
              <w:rPr>
                <w:rFonts w:eastAsia="Times New Roman"/>
                <w:snapToGrid w:val="0"/>
                <w:lang w:eastAsia="en-US"/>
              </w:rPr>
            </w:pPr>
            <w:r>
              <w:rPr>
                <w:rFonts w:eastAsia="Times New Roman"/>
                <w:snapToGrid w:val="0"/>
                <w:lang w:eastAsia="en-US"/>
              </w:rPr>
              <w:t>1</w:t>
            </w:r>
            <w:r w:rsidR="2EC14728">
              <w:rPr>
                <w:rFonts w:eastAsia="Times New Roman"/>
                <w:snapToGrid w:val="0"/>
                <w:lang w:eastAsia="en-US"/>
              </w:rPr>
              <w:t>6</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4DB52BC8" w14:textId="39EB9A99" w:rsidR="00735DB1" w:rsidRDefault="00735DB1" w:rsidP="00735DB1">
            <w:r>
              <w:rPr>
                <w:rStyle w:val="normaltextrun"/>
              </w:rPr>
              <w:t>Act as the Council’s professional representative for employment policy and practice, employee relations and trade union engagement, engaging with internal and external stakeholders, leading and maintaining effective, principles-based relationships with trade unions and staff representative bodies, ensuring timely consultation, constructive engagement and resolution of complex workforce issues</w:t>
            </w:r>
            <w:r>
              <w:rPr>
                <w:rStyle w:val="eop"/>
              </w:rPr>
              <w:t> </w:t>
            </w:r>
          </w:p>
        </w:tc>
      </w:tr>
      <w:tr w:rsidR="00735DB1" w:rsidRPr="00DE65BD" w14:paraId="7ED4A260" w14:textId="77777777" w:rsidTr="6CD2CA9E">
        <w:tc>
          <w:tcPr>
            <w:tcW w:w="1838" w:type="dxa"/>
          </w:tcPr>
          <w:p w14:paraId="52938882" w14:textId="1977DC70" w:rsidR="00735DB1" w:rsidRPr="00AA11EA" w:rsidRDefault="0333868B" w:rsidP="6CD2CA9E">
            <w:pPr>
              <w:widowControl w:val="0"/>
              <w:ind w:right="175"/>
              <w:rPr>
                <w:rFonts w:eastAsia="Times New Roman"/>
                <w:snapToGrid w:val="0"/>
                <w:lang w:eastAsia="en-US"/>
              </w:rPr>
            </w:pPr>
            <w:r>
              <w:rPr>
                <w:rFonts w:eastAsia="Times New Roman"/>
                <w:snapToGrid w:val="0"/>
                <w:lang w:eastAsia="en-US"/>
              </w:rPr>
              <w:t>1</w:t>
            </w:r>
            <w:r w:rsidR="4A78BB04">
              <w:rPr>
                <w:rFonts w:eastAsia="Times New Roman"/>
                <w:snapToGrid w:val="0"/>
                <w:lang w:eastAsia="en-US"/>
              </w:rPr>
              <w:t>7</w:t>
            </w:r>
            <w:r>
              <w:rPr>
                <w:rFonts w:eastAsia="Times New Roman"/>
                <w:snapToGrid w:val="0"/>
                <w:lang w:eastAsia="en-US"/>
              </w:rPr>
              <w:t>.</w:t>
            </w:r>
          </w:p>
        </w:tc>
        <w:tc>
          <w:tcPr>
            <w:tcW w:w="7466" w:type="dxa"/>
            <w:tcBorders>
              <w:top w:val="single" w:sz="6" w:space="0" w:color="auto"/>
              <w:left w:val="single" w:sz="6" w:space="0" w:color="auto"/>
              <w:bottom w:val="single" w:sz="6" w:space="0" w:color="auto"/>
              <w:right w:val="single" w:sz="6" w:space="0" w:color="auto"/>
            </w:tcBorders>
          </w:tcPr>
          <w:p w14:paraId="00E8D233" w14:textId="29CE5DFD" w:rsidR="00735DB1" w:rsidRDefault="00735DB1" w:rsidP="00735DB1">
            <w:pPr>
              <w:autoSpaceDE w:val="0"/>
              <w:autoSpaceDN w:val="0"/>
              <w:adjustRightInd w:val="0"/>
            </w:pPr>
            <w:r>
              <w:rPr>
                <w:rStyle w:val="normaltextrun"/>
              </w:rPr>
              <w:t xml:space="preserve">Provide subject matter expertise and thought leadership on strategic employment matters both internally and externally, </w:t>
            </w:r>
            <w:r>
              <w:rPr>
                <w:rStyle w:val="normaltextrun"/>
              </w:rPr>
              <w:lastRenderedPageBreak/>
              <w:t>encouraging cross sector collaboration and positioning LBTH as a sector leader for professional HR practice </w:t>
            </w:r>
            <w:r>
              <w:rPr>
                <w:rStyle w:val="eop"/>
              </w:rPr>
              <w:t> </w:t>
            </w:r>
          </w:p>
        </w:tc>
      </w:tr>
      <w:tr w:rsidR="00735DB1" w:rsidRPr="00DE65BD" w14:paraId="472B1BD0" w14:textId="77777777" w:rsidTr="6CD2CA9E">
        <w:tc>
          <w:tcPr>
            <w:tcW w:w="1838" w:type="dxa"/>
          </w:tcPr>
          <w:p w14:paraId="421CBA02" w14:textId="7579A3D0" w:rsidR="00735DB1" w:rsidRPr="00AA11EA" w:rsidRDefault="0333868B" w:rsidP="6CD2CA9E">
            <w:pPr>
              <w:widowControl w:val="0"/>
              <w:ind w:right="175"/>
              <w:rPr>
                <w:rFonts w:eastAsia="Times New Roman"/>
                <w:snapToGrid w:val="0"/>
                <w:lang w:eastAsia="en-US"/>
              </w:rPr>
            </w:pPr>
            <w:r>
              <w:rPr>
                <w:rFonts w:eastAsia="Times New Roman"/>
                <w:snapToGrid w:val="0"/>
                <w:lang w:eastAsia="en-US"/>
              </w:rPr>
              <w:lastRenderedPageBreak/>
              <w:t>1</w:t>
            </w:r>
            <w:r w:rsidR="5636BF73">
              <w:rPr>
                <w:rFonts w:eastAsia="Times New Roman"/>
                <w:snapToGrid w:val="0"/>
                <w:lang w:eastAsia="en-US"/>
              </w:rPr>
              <w:t>8.</w:t>
            </w:r>
          </w:p>
        </w:tc>
        <w:tc>
          <w:tcPr>
            <w:tcW w:w="7466" w:type="dxa"/>
            <w:tcBorders>
              <w:top w:val="single" w:sz="6" w:space="0" w:color="auto"/>
              <w:left w:val="single" w:sz="6" w:space="0" w:color="auto"/>
              <w:bottom w:val="single" w:sz="6" w:space="0" w:color="auto"/>
              <w:right w:val="single" w:sz="6" w:space="0" w:color="auto"/>
            </w:tcBorders>
          </w:tcPr>
          <w:p w14:paraId="6318BD82" w14:textId="322E8D50" w:rsidR="00735DB1" w:rsidRDefault="00735DB1" w:rsidP="00735DB1">
            <w:pPr>
              <w:autoSpaceDE w:val="0"/>
              <w:autoSpaceDN w:val="0"/>
              <w:adjustRightInd w:val="0"/>
            </w:pPr>
            <w:r>
              <w:rPr>
                <w:rStyle w:val="normaltextrun"/>
              </w:rPr>
              <w:t>Build strong partnerships across HR &amp; OD (including Organisational Effectiveness, Pay, Reward &amp; Performance, HR Operations, Resourcing and business partnering) and with key corporate stakeholders (e.g., Finance, Legal, ICT and Transformation) to ensure integrated, high quality and consistent delivery</w:t>
            </w:r>
            <w:r>
              <w:rPr>
                <w:rStyle w:val="eop"/>
              </w:rPr>
              <w:t> </w:t>
            </w:r>
          </w:p>
        </w:tc>
      </w:tr>
      <w:tr w:rsidR="00735DB1" w:rsidRPr="00DE65BD" w14:paraId="35D80EAB" w14:textId="77777777" w:rsidTr="6CD2CA9E">
        <w:tc>
          <w:tcPr>
            <w:tcW w:w="1838" w:type="dxa"/>
          </w:tcPr>
          <w:p w14:paraId="2D420E1C" w14:textId="42E24C0A" w:rsidR="00735DB1" w:rsidRPr="00AA11EA" w:rsidRDefault="0333868B" w:rsidP="6CD2CA9E">
            <w:pPr>
              <w:widowControl w:val="0"/>
              <w:ind w:right="175"/>
              <w:rPr>
                <w:rFonts w:eastAsia="Times New Roman"/>
                <w:snapToGrid w:val="0"/>
                <w:lang w:eastAsia="en-US"/>
              </w:rPr>
            </w:pPr>
            <w:r>
              <w:rPr>
                <w:rFonts w:eastAsia="Times New Roman"/>
                <w:snapToGrid w:val="0"/>
                <w:lang w:eastAsia="en-US"/>
              </w:rPr>
              <w:t>1</w:t>
            </w:r>
            <w:r w:rsidR="490D71A1">
              <w:rPr>
                <w:rFonts w:eastAsia="Times New Roman"/>
                <w:snapToGrid w:val="0"/>
                <w:lang w:eastAsia="en-US"/>
              </w:rPr>
              <w:t>9.</w:t>
            </w:r>
          </w:p>
        </w:tc>
        <w:tc>
          <w:tcPr>
            <w:tcW w:w="7466" w:type="dxa"/>
            <w:tcBorders>
              <w:top w:val="single" w:sz="6" w:space="0" w:color="auto"/>
              <w:left w:val="single" w:sz="6" w:space="0" w:color="auto"/>
              <w:bottom w:val="single" w:sz="6" w:space="0" w:color="auto"/>
              <w:right w:val="single" w:sz="6" w:space="0" w:color="auto"/>
            </w:tcBorders>
          </w:tcPr>
          <w:p w14:paraId="10BD8906" w14:textId="77777777" w:rsidR="008B56FB" w:rsidRDefault="00735DB1" w:rsidP="00735DB1">
            <w:pPr>
              <w:rPr>
                <w:rStyle w:val="normaltextrun"/>
              </w:rPr>
            </w:pPr>
            <w:r>
              <w:rPr>
                <w:rStyle w:val="normaltextrun"/>
              </w:rPr>
              <w:t xml:space="preserve">Build HR capability and confidence across the organisation, developing leaders, managers and employees to take ownership for a pragmatic and people centred approach with proactive management of employment </w:t>
            </w:r>
            <w:r w:rsidR="008B56FB">
              <w:rPr>
                <w:rStyle w:val="normaltextrun"/>
              </w:rPr>
              <w:t xml:space="preserve">issues to mitigate risk and </w:t>
            </w:r>
            <w:r>
              <w:rPr>
                <w:rStyle w:val="normaltextrun"/>
              </w:rPr>
              <w:t>pro</w:t>
            </w:r>
            <w:r w:rsidR="008B56FB">
              <w:rPr>
                <w:rStyle w:val="normaltextrun"/>
              </w:rPr>
              <w:t xml:space="preserve">tect the Council’s reputation, </w:t>
            </w:r>
          </w:p>
          <w:p w14:paraId="5A2418CB" w14:textId="4E46E49F" w:rsidR="00735DB1" w:rsidRDefault="00735DB1" w:rsidP="00735DB1">
            <w:pPr>
              <w:rPr>
                <w:lang w:val="en-US"/>
              </w:rPr>
            </w:pPr>
            <w:r>
              <w:rPr>
                <w:rStyle w:val="normaltextrun"/>
              </w:rPr>
              <w:t>Build professional practice of HR &amp; OD colleagues in line with the CIPD profession map. </w:t>
            </w:r>
            <w:r>
              <w:rPr>
                <w:rStyle w:val="eop"/>
              </w:rPr>
              <w:t> </w:t>
            </w:r>
          </w:p>
        </w:tc>
      </w:tr>
      <w:tr w:rsidR="00FE06F7" w:rsidRPr="00DE65BD" w14:paraId="7A94F2FD" w14:textId="77777777" w:rsidTr="6CD2CA9E">
        <w:tc>
          <w:tcPr>
            <w:tcW w:w="9304" w:type="dxa"/>
            <w:gridSpan w:val="2"/>
            <w:shd w:val="clear" w:color="auto" w:fill="4472C4" w:themeFill="accent1"/>
          </w:tcPr>
          <w:p w14:paraId="6348CAB2" w14:textId="01343CF6" w:rsidR="00FE06F7" w:rsidRPr="00FE06F7" w:rsidRDefault="00FE06F7" w:rsidP="00D80C85">
            <w:pPr>
              <w:spacing w:before="120" w:after="120"/>
              <w:jc w:val="both"/>
              <w:rPr>
                <w:rFonts w:eastAsia="Arial"/>
                <w:i/>
                <w:iCs/>
                <w:color w:val="FFFFFF" w:themeColor="background1"/>
              </w:rPr>
            </w:pPr>
            <w:r w:rsidRPr="00FE06F7">
              <w:rPr>
                <w:rFonts w:eastAsia="Times New Roman"/>
                <w:b/>
                <w:bCs/>
                <w:snapToGrid w:val="0"/>
                <w:color w:val="FFFFFF" w:themeColor="background1"/>
                <w:lang w:eastAsia="en-US"/>
              </w:rPr>
              <w:t>FINANCE</w:t>
            </w:r>
          </w:p>
        </w:tc>
      </w:tr>
      <w:tr w:rsidR="00D80C85" w:rsidRPr="00DE65BD" w14:paraId="52AC79F7" w14:textId="77777777" w:rsidTr="6CD2CA9E">
        <w:tc>
          <w:tcPr>
            <w:tcW w:w="1838" w:type="dxa"/>
          </w:tcPr>
          <w:p w14:paraId="649FB84F" w14:textId="5D68B879" w:rsidR="00D80C85" w:rsidRPr="008B56FB" w:rsidRDefault="4F1D76FE" w:rsidP="6CD2CA9E">
            <w:pPr>
              <w:widowControl w:val="0"/>
              <w:ind w:right="175"/>
              <w:rPr>
                <w:rFonts w:eastAsia="Times New Roman"/>
                <w:snapToGrid w:val="0"/>
                <w:lang w:eastAsia="en-US"/>
              </w:rPr>
            </w:pPr>
            <w:r>
              <w:rPr>
                <w:rFonts w:eastAsia="Times New Roman"/>
                <w:snapToGrid w:val="0"/>
                <w:lang w:eastAsia="en-US"/>
              </w:rPr>
              <w:t>20</w:t>
            </w:r>
            <w:r w:rsidR="2A2DABE0">
              <w:rPr>
                <w:rFonts w:eastAsia="Times New Roman"/>
                <w:snapToGrid w:val="0"/>
                <w:lang w:eastAsia="en-US"/>
              </w:rPr>
              <w:t>.</w:t>
            </w:r>
          </w:p>
        </w:tc>
        <w:tc>
          <w:tcPr>
            <w:tcW w:w="7466" w:type="dxa"/>
          </w:tcPr>
          <w:p w14:paraId="5E6E908E" w14:textId="028F9959" w:rsidR="00D80C85" w:rsidRDefault="00303F7E" w:rsidP="008B56FB">
            <w:r w:rsidRPr="00303F7E">
              <w:t xml:space="preserve">Manage allocated budgets, ensuring effective financial </w:t>
            </w:r>
            <w:r>
              <w:t xml:space="preserve">control, </w:t>
            </w:r>
            <w:r w:rsidRPr="00303F7E">
              <w:t>forecasting and delivery within agreed resources.  </w:t>
            </w:r>
          </w:p>
        </w:tc>
      </w:tr>
      <w:tr w:rsidR="00A83411" w:rsidRPr="00DE65BD" w14:paraId="0CCF2A40" w14:textId="77777777" w:rsidTr="6CD2CA9E">
        <w:tc>
          <w:tcPr>
            <w:tcW w:w="1838" w:type="dxa"/>
          </w:tcPr>
          <w:p w14:paraId="3F3ADC6E" w14:textId="78B95742" w:rsidR="00A83411" w:rsidRPr="008B56FB" w:rsidRDefault="2A2DABE0" w:rsidP="6CD2CA9E">
            <w:pPr>
              <w:widowControl w:val="0"/>
              <w:ind w:right="175"/>
              <w:rPr>
                <w:rFonts w:eastAsia="Times New Roman"/>
                <w:snapToGrid w:val="0"/>
                <w:lang w:eastAsia="en-US"/>
              </w:rPr>
            </w:pPr>
            <w:r>
              <w:rPr>
                <w:rFonts w:eastAsia="Times New Roman"/>
                <w:snapToGrid w:val="0"/>
                <w:lang w:eastAsia="en-US"/>
              </w:rPr>
              <w:t>2</w:t>
            </w:r>
            <w:r w:rsidR="7C917C66">
              <w:rPr>
                <w:rFonts w:eastAsia="Times New Roman"/>
                <w:snapToGrid w:val="0"/>
                <w:lang w:eastAsia="en-US"/>
              </w:rPr>
              <w:t>1</w:t>
            </w:r>
            <w:r>
              <w:rPr>
                <w:rFonts w:eastAsia="Times New Roman"/>
                <w:snapToGrid w:val="0"/>
                <w:lang w:eastAsia="en-US"/>
              </w:rPr>
              <w:t>.</w:t>
            </w:r>
          </w:p>
        </w:tc>
        <w:tc>
          <w:tcPr>
            <w:tcW w:w="7466" w:type="dxa"/>
          </w:tcPr>
          <w:p w14:paraId="50274000" w14:textId="1698EF35" w:rsidR="00A83411" w:rsidRPr="00DE65BD" w:rsidRDefault="00F524BF" w:rsidP="008B56FB">
            <w:pPr>
              <w:rPr>
                <w:rFonts w:eastAsia="Times New Roman"/>
              </w:rPr>
            </w:pPr>
            <w:r>
              <w:t xml:space="preserve">Plan, manage and monitor the resources for the Employee Relations, Employment Policy and Trade Union Relationships </w:t>
            </w:r>
            <w:r w:rsidR="00303F7E">
              <w:t>teams</w:t>
            </w:r>
            <w:r>
              <w:t>, ensuring effective deployment of capacity to meet casework demand and corporate priorities.</w:t>
            </w:r>
          </w:p>
        </w:tc>
      </w:tr>
      <w:tr w:rsidR="00A83411" w:rsidRPr="00DE65BD" w14:paraId="14E65136" w14:textId="77777777" w:rsidTr="6CD2CA9E">
        <w:tc>
          <w:tcPr>
            <w:tcW w:w="1838" w:type="dxa"/>
          </w:tcPr>
          <w:p w14:paraId="0294A276" w14:textId="23F141CE" w:rsidR="00A83411" w:rsidRPr="008B56FB" w:rsidRDefault="2A2DABE0" w:rsidP="6CD2CA9E">
            <w:pPr>
              <w:widowControl w:val="0"/>
              <w:ind w:right="175"/>
              <w:rPr>
                <w:rFonts w:eastAsia="Times New Roman"/>
                <w:snapToGrid w:val="0"/>
                <w:lang w:eastAsia="en-US"/>
              </w:rPr>
            </w:pPr>
            <w:r>
              <w:rPr>
                <w:rFonts w:eastAsia="Times New Roman"/>
                <w:snapToGrid w:val="0"/>
                <w:lang w:eastAsia="en-US"/>
              </w:rPr>
              <w:t>2</w:t>
            </w:r>
            <w:r w:rsidR="3299F40A">
              <w:rPr>
                <w:rFonts w:eastAsia="Times New Roman"/>
                <w:snapToGrid w:val="0"/>
                <w:lang w:eastAsia="en-US"/>
              </w:rPr>
              <w:t>2</w:t>
            </w:r>
            <w:r>
              <w:rPr>
                <w:rFonts w:eastAsia="Times New Roman"/>
                <w:snapToGrid w:val="0"/>
                <w:lang w:eastAsia="en-US"/>
              </w:rPr>
              <w:t>.</w:t>
            </w:r>
          </w:p>
        </w:tc>
        <w:tc>
          <w:tcPr>
            <w:tcW w:w="7466" w:type="dxa"/>
          </w:tcPr>
          <w:p w14:paraId="1B2927BD" w14:textId="497C75DD" w:rsidR="00A83411" w:rsidRPr="00DE65BD" w:rsidRDefault="00F524BF" w:rsidP="008B56FB">
            <w:pPr>
              <w:rPr>
                <w:rFonts w:eastAsia="Times New Roman"/>
              </w:rPr>
            </w:pPr>
            <w:r>
              <w:t>Provide oversight</w:t>
            </w:r>
            <w:r w:rsidR="00303F7E">
              <w:t xml:space="preserve"> and ensure effective management</w:t>
            </w:r>
            <w:r>
              <w:t xml:space="preserve"> of financial risk arising from employee relations matters, including the use of external legal support, employment tribunal exposure and settlement decisions, ensuring appropriate governance, value for money and a preventative approach to reducing avoidable cost.</w:t>
            </w:r>
          </w:p>
        </w:tc>
      </w:tr>
      <w:tr w:rsidR="00FE06F7" w:rsidRPr="00DE65BD" w14:paraId="42C282CA" w14:textId="77777777" w:rsidTr="6CD2CA9E">
        <w:tc>
          <w:tcPr>
            <w:tcW w:w="9304" w:type="dxa"/>
            <w:gridSpan w:val="2"/>
            <w:shd w:val="clear" w:color="auto" w:fill="4472C4" w:themeFill="accent1"/>
          </w:tcPr>
          <w:p w14:paraId="093148CC" w14:textId="4E1E5FFC" w:rsidR="00FE06F7" w:rsidRPr="00FE06F7" w:rsidRDefault="00FE06F7" w:rsidP="00FE06F7">
            <w:pPr>
              <w:spacing w:before="120" w:after="120"/>
              <w:jc w:val="both"/>
              <w:rPr>
                <w:rFonts w:eastAsia="Times New Roman"/>
                <w:i/>
                <w:iCs/>
                <w:color w:val="FFFFFF" w:themeColor="background1"/>
              </w:rPr>
            </w:pPr>
            <w:r w:rsidRPr="00FE06F7">
              <w:rPr>
                <w:rFonts w:eastAsia="Times New Roman"/>
                <w:b/>
                <w:bCs/>
                <w:snapToGrid w:val="0"/>
                <w:color w:val="FFFFFF" w:themeColor="background1"/>
                <w:lang w:eastAsia="en-US"/>
              </w:rPr>
              <w:t>SERVICE</w:t>
            </w:r>
          </w:p>
        </w:tc>
      </w:tr>
      <w:tr w:rsidR="00FE06F7" w:rsidRPr="00DE65BD" w14:paraId="716E2E27" w14:textId="77777777" w:rsidTr="6CD2CA9E">
        <w:tc>
          <w:tcPr>
            <w:tcW w:w="1838" w:type="dxa"/>
          </w:tcPr>
          <w:p w14:paraId="797F21A5" w14:textId="23307443" w:rsidR="00FE06F7"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249363FB">
              <w:rPr>
                <w:rFonts w:eastAsia="Times New Roman"/>
                <w:snapToGrid w:val="0"/>
                <w:lang w:eastAsia="en-US"/>
              </w:rPr>
              <w:t>3</w:t>
            </w:r>
            <w:r>
              <w:rPr>
                <w:rFonts w:eastAsia="Times New Roman"/>
                <w:snapToGrid w:val="0"/>
                <w:lang w:eastAsia="en-US"/>
              </w:rPr>
              <w:t>.</w:t>
            </w:r>
          </w:p>
        </w:tc>
        <w:tc>
          <w:tcPr>
            <w:tcW w:w="7466" w:type="dxa"/>
          </w:tcPr>
          <w:p w14:paraId="1D3ABCEA" w14:textId="5E1B1F01" w:rsidR="00FE06F7" w:rsidRDefault="002D5070" w:rsidP="002E0AB5">
            <w:r w:rsidRPr="002D5070">
              <w:t>Constantly monitor and review the structures and functions of the Service to ensure the aims, objectives, key performance targets of business, service and organisational plans are achieved to the required level of quality</w:t>
            </w:r>
            <w:r w:rsidR="002E0AB5">
              <w:t>, i</w:t>
            </w:r>
            <w:r w:rsidR="00F8615D">
              <w:t>dentify</w:t>
            </w:r>
            <w:r w:rsidR="002E0AB5">
              <w:t>ing</w:t>
            </w:r>
            <w:r w:rsidR="00F8615D">
              <w:t xml:space="preserve"> opportunities</w:t>
            </w:r>
            <w:r w:rsidR="002E0AB5">
              <w:t xml:space="preserve"> and implement</w:t>
            </w:r>
            <w:r w:rsidR="00EB7D57">
              <w:t>ing</w:t>
            </w:r>
            <w:r w:rsidR="002E0AB5">
              <w:t xml:space="preserve"> actions to support </w:t>
            </w:r>
            <w:r w:rsidR="00F8615D">
              <w:t xml:space="preserve">simplification and </w:t>
            </w:r>
            <w:r w:rsidR="002E0AB5">
              <w:t>standardisation to drive efficiency and improve the user experience</w:t>
            </w:r>
          </w:p>
        </w:tc>
      </w:tr>
      <w:tr w:rsidR="00A83411" w:rsidRPr="00DE65BD" w14:paraId="099538EB" w14:textId="77777777" w:rsidTr="6CD2CA9E">
        <w:tc>
          <w:tcPr>
            <w:tcW w:w="1838" w:type="dxa"/>
          </w:tcPr>
          <w:p w14:paraId="3B206091" w14:textId="2547D899" w:rsidR="00A83411"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2AB54E0C">
              <w:rPr>
                <w:rFonts w:eastAsia="Times New Roman"/>
                <w:snapToGrid w:val="0"/>
                <w:lang w:eastAsia="en-US"/>
              </w:rPr>
              <w:t>4</w:t>
            </w:r>
            <w:r>
              <w:rPr>
                <w:rFonts w:eastAsia="Times New Roman"/>
                <w:snapToGrid w:val="0"/>
                <w:lang w:eastAsia="en-US"/>
              </w:rPr>
              <w:t>.</w:t>
            </w:r>
          </w:p>
        </w:tc>
        <w:tc>
          <w:tcPr>
            <w:tcW w:w="7466" w:type="dxa"/>
          </w:tcPr>
          <w:p w14:paraId="642564B4" w14:textId="0E4F3DAA" w:rsidR="00A83411" w:rsidRPr="00C97850" w:rsidRDefault="00C97850" w:rsidP="00EB7D57">
            <w:r w:rsidRPr="00C97850">
              <w:t>Ensure effective use of HR systems and management information (including self-service) to improve service efficiency, data quality, case management and strategic insight, embedding a culture of learning and continuous improvement for all people related policies, processes and systems </w:t>
            </w:r>
            <w:r w:rsidR="00EB7D57">
              <w:t>to move from reactive service delivery to proactive management of emerging issues.</w:t>
            </w:r>
            <w:r w:rsidR="00F524BF">
              <w:t xml:space="preserve"> </w:t>
            </w:r>
          </w:p>
        </w:tc>
      </w:tr>
      <w:tr w:rsidR="00A83411" w:rsidRPr="00DE65BD" w14:paraId="30B8079B" w14:textId="77777777" w:rsidTr="6CD2CA9E">
        <w:tc>
          <w:tcPr>
            <w:tcW w:w="1838" w:type="dxa"/>
          </w:tcPr>
          <w:p w14:paraId="3CB53596" w14:textId="78BC03A9" w:rsidR="00A83411"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5CECE0D4">
              <w:rPr>
                <w:rFonts w:eastAsia="Times New Roman"/>
                <w:snapToGrid w:val="0"/>
                <w:lang w:eastAsia="en-US"/>
              </w:rPr>
              <w:t>5</w:t>
            </w:r>
            <w:r>
              <w:rPr>
                <w:rFonts w:eastAsia="Times New Roman"/>
                <w:snapToGrid w:val="0"/>
                <w:lang w:eastAsia="en-US"/>
              </w:rPr>
              <w:t>.</w:t>
            </w:r>
          </w:p>
        </w:tc>
        <w:tc>
          <w:tcPr>
            <w:tcW w:w="7466" w:type="dxa"/>
          </w:tcPr>
          <w:p w14:paraId="0ED58766" w14:textId="1A0311BE" w:rsidR="00A83411" w:rsidRPr="003D36DD" w:rsidRDefault="00F524BF" w:rsidP="00303F7E">
            <w:pPr>
              <w:rPr>
                <w:rFonts w:eastAsia="Times New Roman"/>
              </w:rPr>
            </w:pPr>
            <w:r>
              <w:t>Use ER insight and workforce data to identify systemic issues and drive preventative interventions (e.g., manager capability, policy simplification, early resolution), working with HR Business Partners and Pay, Reward &amp; Performance to ensure a joined-up end-to-end people system</w:t>
            </w:r>
            <w:r w:rsidR="00C97850">
              <w:t xml:space="preserve"> </w:t>
            </w:r>
            <w:r w:rsidR="00F8615D">
              <w:t>embedding continu</w:t>
            </w:r>
            <w:r w:rsidR="00EB7D57">
              <w:t>o</w:t>
            </w:r>
            <w:r w:rsidR="00F8615D">
              <w:t>us improvement and learning culture into all elements of employment policy and practice</w:t>
            </w:r>
            <w:r w:rsidR="00EB7D57">
              <w:t>, ensuring a consistent customer experience and proportionate, timely support to managers and services</w:t>
            </w:r>
          </w:p>
        </w:tc>
      </w:tr>
      <w:tr w:rsidR="00FE06F7" w:rsidRPr="00DE65BD" w14:paraId="280BF176" w14:textId="77777777" w:rsidTr="6CD2CA9E">
        <w:tc>
          <w:tcPr>
            <w:tcW w:w="9304" w:type="dxa"/>
            <w:gridSpan w:val="2"/>
            <w:shd w:val="clear" w:color="auto" w:fill="4472C4" w:themeFill="accent1"/>
          </w:tcPr>
          <w:p w14:paraId="28A0488C" w14:textId="1AD369AC" w:rsidR="00FE06F7" w:rsidRPr="00FE06F7" w:rsidRDefault="00FE06F7" w:rsidP="00303F7E">
            <w:pPr>
              <w:autoSpaceDE w:val="0"/>
              <w:autoSpaceDN w:val="0"/>
              <w:adjustRightInd w:val="0"/>
              <w:rPr>
                <w:rFonts w:eastAsia="Times New Roman"/>
                <w:color w:val="FFFFFF" w:themeColor="background1"/>
              </w:rPr>
            </w:pPr>
            <w:r w:rsidRPr="00FE06F7">
              <w:rPr>
                <w:rFonts w:eastAsia="Times New Roman"/>
                <w:b/>
                <w:bCs/>
                <w:snapToGrid w:val="0"/>
                <w:color w:val="FFFFFF" w:themeColor="background1"/>
                <w:szCs w:val="20"/>
                <w:lang w:eastAsia="en-US"/>
              </w:rPr>
              <w:lastRenderedPageBreak/>
              <w:t>PERFORMANCE</w:t>
            </w:r>
          </w:p>
        </w:tc>
      </w:tr>
      <w:tr w:rsidR="00777637" w:rsidRPr="00DE65BD" w14:paraId="38A704C2" w14:textId="77777777" w:rsidTr="6CD2CA9E">
        <w:tc>
          <w:tcPr>
            <w:tcW w:w="1838" w:type="dxa"/>
          </w:tcPr>
          <w:p w14:paraId="6D3B0418" w14:textId="6484A3BA" w:rsidR="00777637"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359368C5">
              <w:rPr>
                <w:rFonts w:eastAsia="Times New Roman"/>
                <w:snapToGrid w:val="0"/>
                <w:lang w:eastAsia="en-US"/>
              </w:rPr>
              <w:t>6</w:t>
            </w:r>
            <w:r>
              <w:rPr>
                <w:rFonts w:eastAsia="Times New Roman"/>
                <w:snapToGrid w:val="0"/>
                <w:lang w:eastAsia="en-US"/>
              </w:rPr>
              <w:t>.</w:t>
            </w:r>
          </w:p>
        </w:tc>
        <w:tc>
          <w:tcPr>
            <w:tcW w:w="7466" w:type="dxa"/>
          </w:tcPr>
          <w:p w14:paraId="0C1910D2" w14:textId="1D338D8E" w:rsidR="00777637" w:rsidRPr="000943CA" w:rsidRDefault="00D05085" w:rsidP="00303F7E">
            <w:pPr>
              <w:rPr>
                <w:rFonts w:eastAsia="Arial"/>
                <w:i/>
                <w:iCs/>
              </w:rPr>
            </w:pPr>
            <w:r w:rsidRPr="00D05085">
              <w:t>Develop and deliver high</w:t>
            </w:r>
            <w:r w:rsidRPr="00D05085">
              <w:noBreakHyphen/>
              <w:t>quality, insightful and timely reporting and evaluation to</w:t>
            </w:r>
            <w:r>
              <w:t xml:space="preserve"> deliver the desired outcome and</w:t>
            </w:r>
            <w:r w:rsidRPr="00D05085">
              <w:t> demonstrate the impact</w:t>
            </w:r>
            <w:r>
              <w:t xml:space="preserve"> of Employment Policy, Employee Relations and Trade Union Relations portfolios through clear plans, measurable service standards, effective governance and evidence-led </w:t>
            </w:r>
            <w:r w:rsidR="001279AC">
              <w:t xml:space="preserve">improvement </w:t>
            </w:r>
            <w:r w:rsidRPr="00D05085">
              <w:t xml:space="preserve">linking outcomes to workforce performance, service delivery and resident experience  </w:t>
            </w:r>
          </w:p>
        </w:tc>
      </w:tr>
      <w:tr w:rsidR="00777637" w:rsidRPr="00DE65BD" w14:paraId="2472DED6" w14:textId="77777777" w:rsidTr="6CD2CA9E">
        <w:tc>
          <w:tcPr>
            <w:tcW w:w="1838" w:type="dxa"/>
          </w:tcPr>
          <w:p w14:paraId="7A6E505A" w14:textId="12A432E6" w:rsidR="00777637"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755BCC78">
              <w:rPr>
                <w:rFonts w:eastAsia="Times New Roman"/>
                <w:snapToGrid w:val="0"/>
                <w:lang w:eastAsia="en-US"/>
              </w:rPr>
              <w:t>7</w:t>
            </w:r>
            <w:r>
              <w:rPr>
                <w:rFonts w:eastAsia="Times New Roman"/>
                <w:snapToGrid w:val="0"/>
                <w:lang w:eastAsia="en-US"/>
              </w:rPr>
              <w:t>.</w:t>
            </w:r>
          </w:p>
        </w:tc>
        <w:tc>
          <w:tcPr>
            <w:tcW w:w="7466" w:type="dxa"/>
          </w:tcPr>
          <w:p w14:paraId="750D90A4" w14:textId="75D07670" w:rsidR="00777637" w:rsidRPr="00DE65BD" w:rsidRDefault="00F524BF" w:rsidP="00303F7E">
            <w:pPr>
              <w:rPr>
                <w:rFonts w:eastAsia="Times New Roman"/>
                <w:snapToGrid w:val="0"/>
                <w:lang w:eastAsia="en-US"/>
              </w:rPr>
            </w:pPr>
            <w:r>
              <w:t>Deliver the council’s agreed programme of employment policy development and review, ensuring priority policies are refreshed, consulted on and implemented to time</w:t>
            </w:r>
            <w:r w:rsidR="00772E98">
              <w:t xml:space="preserve"> </w:t>
            </w:r>
            <w:r>
              <w:t>and with clear guidance for consistent applicatio</w:t>
            </w:r>
            <w:r w:rsidR="00772E98">
              <w:t>n to ensure legal compliance and deliver an improved employee experience</w:t>
            </w:r>
          </w:p>
        </w:tc>
      </w:tr>
      <w:tr w:rsidR="00777637" w:rsidRPr="00DE65BD" w14:paraId="00D1AB05" w14:textId="77777777" w:rsidTr="6CD2CA9E">
        <w:tc>
          <w:tcPr>
            <w:tcW w:w="1838" w:type="dxa"/>
          </w:tcPr>
          <w:p w14:paraId="65DB89F0" w14:textId="4CD49236" w:rsidR="00777637"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249D2DF6">
              <w:rPr>
                <w:rFonts w:eastAsia="Times New Roman"/>
                <w:snapToGrid w:val="0"/>
                <w:lang w:eastAsia="en-US"/>
              </w:rPr>
              <w:t>8</w:t>
            </w:r>
            <w:r>
              <w:rPr>
                <w:rFonts w:eastAsia="Times New Roman"/>
                <w:snapToGrid w:val="0"/>
                <w:lang w:eastAsia="en-US"/>
              </w:rPr>
              <w:t>.</w:t>
            </w:r>
          </w:p>
        </w:tc>
        <w:tc>
          <w:tcPr>
            <w:tcW w:w="7466" w:type="dxa"/>
          </w:tcPr>
          <w:p w14:paraId="32479FFE" w14:textId="088DFC3C" w:rsidR="00777637" w:rsidRPr="00017113" w:rsidRDefault="00210D58" w:rsidP="00210D58">
            <w:pPr>
              <w:rPr>
                <w:rFonts w:eastAsia="Times New Roman"/>
                <w:snapToGrid w:val="0"/>
                <w:lang w:eastAsia="en-US"/>
              </w:rPr>
            </w:pPr>
            <w:r w:rsidRPr="00210D58">
              <w:t>Actively enable and manage team performance to deliver demonstrable value, supporting delivery of the workforce strategy and improved outcomes for residents, ensuring the team have clear objectives, effective supervision, capability development and make a demonstrable contribution to corporate priorities. </w:t>
            </w:r>
            <w:r w:rsidR="00F524BF">
              <w:t>Set and deliver service standards for ER and policy support (timeliness, quality and consistency), including clear triage, escalation and assurance arrangements for complex and high-risk cases.</w:t>
            </w:r>
          </w:p>
        </w:tc>
      </w:tr>
      <w:tr w:rsidR="00777637" w:rsidRPr="00DE65BD" w14:paraId="58128AFC" w14:textId="77777777" w:rsidTr="6CD2CA9E">
        <w:tc>
          <w:tcPr>
            <w:tcW w:w="1838" w:type="dxa"/>
          </w:tcPr>
          <w:p w14:paraId="069A86D5" w14:textId="61AA6EAB" w:rsidR="00777637" w:rsidRPr="00303F7E" w:rsidRDefault="2A3CDD94" w:rsidP="6CD2CA9E">
            <w:pPr>
              <w:widowControl w:val="0"/>
              <w:ind w:right="175"/>
              <w:rPr>
                <w:rFonts w:eastAsia="Times New Roman"/>
                <w:snapToGrid w:val="0"/>
                <w:lang w:eastAsia="en-US"/>
              </w:rPr>
            </w:pPr>
            <w:r>
              <w:rPr>
                <w:rFonts w:eastAsia="Times New Roman"/>
                <w:snapToGrid w:val="0"/>
                <w:lang w:eastAsia="en-US"/>
              </w:rPr>
              <w:t>2</w:t>
            </w:r>
            <w:r w:rsidR="5ADC779A">
              <w:rPr>
                <w:rFonts w:eastAsia="Times New Roman"/>
                <w:snapToGrid w:val="0"/>
                <w:lang w:eastAsia="en-US"/>
              </w:rPr>
              <w:t>9</w:t>
            </w:r>
            <w:r>
              <w:rPr>
                <w:rFonts w:eastAsia="Times New Roman"/>
                <w:snapToGrid w:val="0"/>
                <w:lang w:eastAsia="en-US"/>
              </w:rPr>
              <w:t>.</w:t>
            </w:r>
          </w:p>
        </w:tc>
        <w:tc>
          <w:tcPr>
            <w:tcW w:w="7466" w:type="dxa"/>
          </w:tcPr>
          <w:p w14:paraId="71334CB4" w14:textId="1FF87908" w:rsidR="00777637" w:rsidRPr="00DE65BD" w:rsidRDefault="00F524BF" w:rsidP="00772E98">
            <w:pPr>
              <w:rPr>
                <w:rFonts w:eastAsia="Times New Roman"/>
                <w:snapToGrid w:val="0"/>
                <w:szCs w:val="20"/>
                <w:lang w:val="en-US" w:eastAsia="en-US"/>
              </w:rPr>
            </w:pPr>
            <w:r>
              <w:t>Maintain effective and lawful collective engagement, ensuring consultation and negotiation processes are planned, documented and concluded with clear outcomes, and that stakeholder expectations and organisational accountability are managed appropriately.</w:t>
            </w:r>
          </w:p>
        </w:tc>
      </w:tr>
      <w:tr w:rsidR="00777637" w:rsidRPr="00DE65BD" w14:paraId="2E1D9735" w14:textId="77777777" w:rsidTr="6CD2CA9E">
        <w:tc>
          <w:tcPr>
            <w:tcW w:w="1838" w:type="dxa"/>
          </w:tcPr>
          <w:p w14:paraId="6F6758AE" w14:textId="10D355A8" w:rsidR="00777637" w:rsidRPr="00303F7E" w:rsidRDefault="719A5198" w:rsidP="6CD2CA9E">
            <w:pPr>
              <w:widowControl w:val="0"/>
              <w:ind w:right="175"/>
              <w:rPr>
                <w:rFonts w:eastAsia="Times New Roman"/>
                <w:snapToGrid w:val="0"/>
                <w:lang w:eastAsia="en-US"/>
              </w:rPr>
            </w:pPr>
            <w:r w:rsidRPr="6CD2CA9E">
              <w:rPr>
                <w:rFonts w:eastAsia="Times New Roman"/>
                <w:snapToGrid w:val="0"/>
                <w:lang w:eastAsia="en-US"/>
              </w:rPr>
              <w:t>30</w:t>
            </w:r>
            <w:r w:rsidR="2A3CDD94" w:rsidRPr="6CD2CA9E">
              <w:rPr>
                <w:rFonts w:eastAsia="Times New Roman"/>
                <w:snapToGrid w:val="0"/>
                <w:lang w:eastAsia="en-US"/>
              </w:rPr>
              <w:t>.</w:t>
            </w:r>
          </w:p>
        </w:tc>
        <w:tc>
          <w:tcPr>
            <w:tcW w:w="7466" w:type="dxa"/>
          </w:tcPr>
          <w:p w14:paraId="6AC1F695" w14:textId="0DBDACB1" w:rsidR="00777637" w:rsidRPr="00DE65BD" w:rsidRDefault="006E6F2D" w:rsidP="00284B4D">
            <w:pPr>
              <w:rPr>
                <w:rFonts w:eastAsia="Times New Roman"/>
                <w:snapToGrid w:val="0"/>
                <w:lang w:eastAsia="en-US"/>
              </w:rPr>
            </w:pPr>
            <w:r w:rsidRPr="006E6F2D">
              <w:t xml:space="preserve">Build organisational knowledge, capability and </w:t>
            </w:r>
            <w:r>
              <w:t xml:space="preserve">collective ownership </w:t>
            </w:r>
            <w:r w:rsidRPr="006E6F2D">
              <w:t>for sustained organisational effectiveness, embedding values and behaviours, building trust, driving a learning and continuous improvement culture</w:t>
            </w:r>
            <w:r w:rsidR="00284B4D">
              <w:t>, s</w:t>
            </w:r>
            <w:r w:rsidR="00F524BF">
              <w:t>trengthen</w:t>
            </w:r>
            <w:r w:rsidR="00284B4D">
              <w:t>ing</w:t>
            </w:r>
            <w:r w:rsidR="00F524BF">
              <w:t xml:space="preserve"> organisational compliance and reduc</w:t>
            </w:r>
            <w:r w:rsidR="00284B4D">
              <w:t>ing</w:t>
            </w:r>
            <w:r w:rsidR="00F524BF">
              <w:t xml:space="preserve"> employment-related risk through robust governance, improved manager practice and learning from ER themes; demonstrate impact through reduced avoidable escalation, improved decision quality and clearer accountability across services.</w:t>
            </w:r>
            <w:r w:rsidR="00284B4D">
              <w:t xml:space="preserve"> </w:t>
            </w:r>
          </w:p>
        </w:tc>
      </w:tr>
    </w:tbl>
    <w:p w14:paraId="1D28EDC9" w14:textId="77777777" w:rsidR="00753DF3" w:rsidRDefault="00753DF3" w:rsidP="00E659E2">
      <w:pPr>
        <w:spacing w:after="0"/>
        <w:jc w:val="both"/>
        <w:rPr>
          <w:rFonts w:eastAsia="Times New Roman"/>
          <w:b/>
          <w:snapToGrid w:val="0"/>
          <w:szCs w:val="20"/>
          <w:lang w:eastAsia="en-US"/>
        </w:rPr>
      </w:pPr>
    </w:p>
    <w:p w14:paraId="12D1970B" w14:textId="5803999C"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19D27665" w14:textId="77777777" w:rsidR="007B2785" w:rsidRDefault="007B2785" w:rsidP="00E659E2">
      <w:pPr>
        <w:spacing w:after="0"/>
        <w:jc w:val="both"/>
      </w:pPr>
    </w:p>
    <w:p w14:paraId="7A87E76E" w14:textId="63F3C4D1" w:rsidR="00E659E2" w:rsidRDefault="00E659E2" w:rsidP="00E659E2">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lastRenderedPageBreak/>
        <w:t>To comply with the council’s equal opportunities and diversity policies ensuring anti-discriminatory practice within the service area.</w:t>
      </w:r>
    </w:p>
    <w:p w14:paraId="1B49183D" w14:textId="77777777" w:rsidR="00FB70AE" w:rsidRDefault="00FB70AE" w:rsidP="00E659E2">
      <w:pPr>
        <w:rPr>
          <w:rFonts w:eastAsia="Times New Roman"/>
          <w:snapToGrid w:val="0"/>
          <w:szCs w:val="20"/>
          <w:lang w:eastAsia="en-US"/>
        </w:rPr>
      </w:pPr>
    </w:p>
    <w:p w14:paraId="6C363B9C" w14:textId="1E361179"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B8C18FA" w14:textId="2F500D97" w:rsidR="002D30D6" w:rsidRDefault="001F481A" w:rsidP="002D30D6">
      <w:pPr>
        <w:pStyle w:val="Title"/>
        <w:jc w:val="center"/>
      </w:pPr>
      <w:r>
        <w:t>P</w:t>
      </w:r>
      <w:r w:rsidR="009E7322">
        <w:t>erson Specification</w:t>
      </w:r>
    </w:p>
    <w:tbl>
      <w:tblPr>
        <w:tblStyle w:val="TableGrid"/>
        <w:tblW w:w="9016" w:type="dxa"/>
        <w:tblLayout w:type="fixed"/>
        <w:tblLook w:val="01E0" w:firstRow="1" w:lastRow="1" w:firstColumn="1" w:lastColumn="1" w:noHBand="0" w:noVBand="0"/>
      </w:tblPr>
      <w:tblGrid>
        <w:gridCol w:w="1838"/>
        <w:gridCol w:w="3260"/>
        <w:gridCol w:w="1985"/>
        <w:gridCol w:w="1933"/>
      </w:tblGrid>
      <w:tr w:rsidR="00E659E2" w:rsidRPr="00B85397" w14:paraId="55A1A960" w14:textId="77777777" w:rsidTr="52C70040">
        <w:trPr>
          <w:trHeight w:val="962"/>
        </w:trPr>
        <w:tc>
          <w:tcPr>
            <w:tcW w:w="1838" w:type="dxa"/>
            <w:shd w:val="clear" w:color="auto" w:fill="4472C4" w:themeFill="accent1"/>
          </w:tcPr>
          <w:p w14:paraId="29839449" w14:textId="77777777" w:rsidR="00C36C7A" w:rsidRDefault="00C36C7A">
            <w:pPr>
              <w:rPr>
                <w:b/>
                <w:color w:val="FFFFFF" w:themeColor="background1"/>
              </w:rPr>
            </w:pPr>
          </w:p>
          <w:p w14:paraId="3A5077EC" w14:textId="309043BE" w:rsidR="00E659E2" w:rsidRPr="00F27A69" w:rsidRDefault="00984330">
            <w:pPr>
              <w:rPr>
                <w:b/>
                <w:color w:val="FFFFFF" w:themeColor="background1"/>
              </w:rPr>
            </w:pPr>
            <w:r>
              <w:rPr>
                <w:b/>
                <w:color w:val="FFFFFF" w:themeColor="background1"/>
              </w:rPr>
              <w:t>Requirements</w:t>
            </w:r>
            <w:r w:rsidR="00E659E2" w:rsidRPr="00F27A69">
              <w:rPr>
                <w:b/>
                <w:color w:val="FFFFFF" w:themeColor="background1"/>
              </w:rPr>
              <w:t xml:space="preserve"> for the Post of</w:t>
            </w:r>
            <w:r w:rsidR="00283027" w:rsidRPr="00F27A69">
              <w:rPr>
                <w:b/>
                <w:color w:val="FFFFFF" w:themeColor="background1"/>
              </w:rPr>
              <w:t xml:space="preserve"> Head of Employment </w:t>
            </w:r>
            <w:r w:rsidR="00F27A69" w:rsidRPr="00F27A69">
              <w:rPr>
                <w:b/>
                <w:color w:val="FFFFFF" w:themeColor="background1"/>
              </w:rPr>
              <w:t>Policy &amp; Practice</w:t>
            </w:r>
          </w:p>
        </w:tc>
        <w:tc>
          <w:tcPr>
            <w:tcW w:w="3260" w:type="dxa"/>
            <w:shd w:val="clear" w:color="auto" w:fill="4472C4" w:themeFill="accent1"/>
          </w:tcPr>
          <w:p w14:paraId="554A9CE6" w14:textId="77777777" w:rsidR="00984330" w:rsidRDefault="00984330">
            <w:pPr>
              <w:rPr>
                <w:b/>
                <w:color w:val="FFFFFF" w:themeColor="background1"/>
              </w:rPr>
            </w:pPr>
          </w:p>
          <w:p w14:paraId="73807D75" w14:textId="19546244" w:rsidR="00E659E2" w:rsidRPr="00F27A69" w:rsidRDefault="00984330">
            <w:pPr>
              <w:rPr>
                <w:color w:val="FFFFFF" w:themeColor="background1"/>
              </w:rPr>
            </w:pPr>
            <w:r w:rsidRPr="00FD2D9E">
              <w:rPr>
                <w:b/>
                <w:color w:val="FFFFFF" w:themeColor="background1"/>
              </w:rPr>
              <w:t>Person Specification</w:t>
            </w:r>
          </w:p>
        </w:tc>
        <w:tc>
          <w:tcPr>
            <w:tcW w:w="1985" w:type="dxa"/>
            <w:shd w:val="clear" w:color="auto" w:fill="4472C4" w:themeFill="accent1"/>
          </w:tcPr>
          <w:p w14:paraId="2359E74B" w14:textId="77777777" w:rsidR="00E659E2" w:rsidRPr="00F27A69" w:rsidRDefault="00E659E2">
            <w:pPr>
              <w:rPr>
                <w:b/>
                <w:color w:val="FFFFFF" w:themeColor="background1"/>
              </w:rPr>
            </w:pPr>
          </w:p>
          <w:p w14:paraId="4B0AF067" w14:textId="77777777" w:rsidR="00E659E2" w:rsidRPr="00F27A69" w:rsidRDefault="00E659E2">
            <w:pPr>
              <w:rPr>
                <w:b/>
                <w:color w:val="FFFFFF" w:themeColor="background1"/>
              </w:rPr>
            </w:pPr>
            <w:r w:rsidRPr="00F27A69">
              <w:rPr>
                <w:b/>
                <w:color w:val="FFFFFF" w:themeColor="background1"/>
              </w:rPr>
              <w:t>Essential (E)</w:t>
            </w:r>
          </w:p>
          <w:p w14:paraId="7DB5762E" w14:textId="77777777" w:rsidR="00E659E2" w:rsidRPr="00F27A69" w:rsidRDefault="00E659E2">
            <w:pPr>
              <w:rPr>
                <w:b/>
                <w:color w:val="FFFFFF" w:themeColor="background1"/>
              </w:rPr>
            </w:pPr>
            <w:r w:rsidRPr="00F27A69">
              <w:rPr>
                <w:b/>
                <w:color w:val="FFFFFF" w:themeColor="background1"/>
              </w:rPr>
              <w:t>or</w:t>
            </w:r>
          </w:p>
          <w:p w14:paraId="3583CFF4" w14:textId="77777777" w:rsidR="00E659E2" w:rsidRPr="00F27A69" w:rsidRDefault="00E659E2">
            <w:pPr>
              <w:rPr>
                <w:b/>
                <w:color w:val="FFFFFF" w:themeColor="background1"/>
              </w:rPr>
            </w:pPr>
            <w:r w:rsidRPr="00F27A69">
              <w:rPr>
                <w:b/>
                <w:color w:val="FFFFFF" w:themeColor="background1"/>
              </w:rPr>
              <w:t>Desirable (D) (if applicable)</w:t>
            </w:r>
          </w:p>
          <w:p w14:paraId="1CCD8641" w14:textId="77777777" w:rsidR="00E659E2" w:rsidRPr="00F27A69" w:rsidRDefault="00E659E2">
            <w:pPr>
              <w:rPr>
                <w:b/>
                <w:color w:val="FFFFFF" w:themeColor="background1"/>
              </w:rPr>
            </w:pPr>
          </w:p>
        </w:tc>
        <w:tc>
          <w:tcPr>
            <w:tcW w:w="1933" w:type="dxa"/>
            <w:shd w:val="clear" w:color="auto" w:fill="4472C4" w:themeFill="accent1"/>
          </w:tcPr>
          <w:p w14:paraId="13A43173" w14:textId="77777777" w:rsidR="00E659E2" w:rsidRPr="00F27A69" w:rsidRDefault="00E659E2">
            <w:pPr>
              <w:rPr>
                <w:b/>
                <w:color w:val="FFFFFF" w:themeColor="background1"/>
              </w:rPr>
            </w:pPr>
          </w:p>
          <w:p w14:paraId="1D09C758" w14:textId="77777777" w:rsidR="00E659E2" w:rsidRPr="00F27A69" w:rsidRDefault="00E659E2">
            <w:pPr>
              <w:rPr>
                <w:b/>
                <w:color w:val="FFFFFF" w:themeColor="background1"/>
              </w:rPr>
            </w:pPr>
            <w:r w:rsidRPr="00F27A69">
              <w:rPr>
                <w:b/>
                <w:color w:val="FFFFFF" w:themeColor="background1"/>
              </w:rPr>
              <w:t>Method of Assessment</w:t>
            </w:r>
          </w:p>
          <w:p w14:paraId="1B314826" w14:textId="77777777" w:rsidR="00E659E2" w:rsidRPr="00F27A69" w:rsidRDefault="00E659E2">
            <w:pPr>
              <w:rPr>
                <w:b/>
                <w:color w:val="FFFFFF" w:themeColor="background1"/>
              </w:rPr>
            </w:pPr>
            <w:r w:rsidRPr="00F27A69">
              <w:rPr>
                <w:b/>
                <w:color w:val="FFFFFF" w:themeColor="background1"/>
              </w:rPr>
              <w:t>A= Application Form</w:t>
            </w:r>
          </w:p>
          <w:p w14:paraId="4CA990BA" w14:textId="77777777" w:rsidR="00E659E2" w:rsidRPr="00F27A69" w:rsidRDefault="00E659E2">
            <w:pPr>
              <w:rPr>
                <w:b/>
                <w:color w:val="FFFFFF" w:themeColor="background1"/>
              </w:rPr>
            </w:pPr>
            <w:r w:rsidRPr="00F27A69">
              <w:rPr>
                <w:b/>
                <w:color w:val="FFFFFF" w:themeColor="background1"/>
              </w:rPr>
              <w:t>T= Test</w:t>
            </w:r>
          </w:p>
          <w:p w14:paraId="20220EE2" w14:textId="77777777" w:rsidR="00E659E2" w:rsidRPr="00F27A69" w:rsidRDefault="00E659E2">
            <w:pPr>
              <w:rPr>
                <w:b/>
                <w:color w:val="FFFFFF" w:themeColor="background1"/>
              </w:rPr>
            </w:pPr>
            <w:r w:rsidRPr="00F27A69">
              <w:rPr>
                <w:b/>
                <w:color w:val="FFFFFF" w:themeColor="background1"/>
              </w:rPr>
              <w:t>I= Interview</w:t>
            </w:r>
          </w:p>
        </w:tc>
      </w:tr>
      <w:tr w:rsidR="000203CD" w:rsidRPr="00B85397" w14:paraId="4A61CEB3" w14:textId="77777777" w:rsidTr="52C70040">
        <w:trPr>
          <w:trHeight w:val="3178"/>
        </w:trPr>
        <w:tc>
          <w:tcPr>
            <w:tcW w:w="1838" w:type="dxa"/>
          </w:tcPr>
          <w:p w14:paraId="35EBA756" w14:textId="77777777" w:rsidR="000203CD" w:rsidRPr="00B85397" w:rsidRDefault="000203CD">
            <w:pPr>
              <w:rPr>
                <w:b/>
              </w:rPr>
            </w:pPr>
            <w:r w:rsidRPr="00B85397">
              <w:rPr>
                <w:b/>
              </w:rPr>
              <w:t>Knowledge</w:t>
            </w:r>
          </w:p>
          <w:p w14:paraId="2C7F5174" w14:textId="77777777" w:rsidR="000203CD" w:rsidRPr="00B85397" w:rsidRDefault="000203CD">
            <w:pPr>
              <w:rPr>
                <w:b/>
              </w:rPr>
            </w:pPr>
          </w:p>
          <w:p w14:paraId="2B64A65C" w14:textId="77777777" w:rsidR="000203CD" w:rsidRPr="00B85397" w:rsidRDefault="000203CD">
            <w:pPr>
              <w:rPr>
                <w:b/>
              </w:rPr>
            </w:pPr>
          </w:p>
        </w:tc>
        <w:tc>
          <w:tcPr>
            <w:tcW w:w="3260" w:type="dxa"/>
          </w:tcPr>
          <w:p w14:paraId="56ED871A" w14:textId="1F11A945" w:rsidR="000203CD" w:rsidRDefault="005318BA" w:rsidP="00AC6611">
            <w:pPr>
              <w:rPr>
                <w:rStyle w:val="normaltextrun"/>
              </w:rPr>
            </w:pPr>
            <w:r>
              <w:rPr>
                <w:rStyle w:val="normaltextrun"/>
              </w:rPr>
              <w:t>Expert</w:t>
            </w:r>
            <w:r w:rsidR="00944E4F">
              <w:rPr>
                <w:rStyle w:val="normaltextrun"/>
              </w:rPr>
              <w:t xml:space="preserve"> technical knowledge and expertise</w:t>
            </w:r>
            <w:r w:rsidR="000203CD" w:rsidRPr="4DA00017">
              <w:rPr>
                <w:rStyle w:val="normaltextrun"/>
              </w:rPr>
              <w:t xml:space="preserve"> of employment law, </w:t>
            </w:r>
            <w:r w:rsidR="00944E4F">
              <w:rPr>
                <w:rStyle w:val="normaltextrun"/>
              </w:rPr>
              <w:t xml:space="preserve">case law </w:t>
            </w:r>
            <w:r w:rsidR="000203CD">
              <w:rPr>
                <w:rStyle w:val="normaltextrun"/>
              </w:rPr>
              <w:t xml:space="preserve">employee </w:t>
            </w:r>
            <w:r w:rsidR="00944E4F">
              <w:rPr>
                <w:rStyle w:val="normaltextrun"/>
              </w:rPr>
              <w:t xml:space="preserve">relations and </w:t>
            </w:r>
            <w:r w:rsidR="000203CD" w:rsidRPr="4DA00017">
              <w:rPr>
                <w:rStyle w:val="normaltextrun"/>
              </w:rPr>
              <w:t>public</w:t>
            </w:r>
            <w:r w:rsidR="000203CD">
              <w:noBreakHyphen/>
            </w:r>
            <w:r w:rsidR="000203CD" w:rsidRPr="4DA00017">
              <w:rPr>
                <w:rStyle w:val="normaltextrun"/>
              </w:rPr>
              <w:t>sector HR governance.</w:t>
            </w:r>
          </w:p>
          <w:p w14:paraId="0A420CA0" w14:textId="77777777" w:rsidR="005318BA" w:rsidRDefault="005318BA" w:rsidP="00AC6611">
            <w:pPr>
              <w:rPr>
                <w:rStyle w:val="normaltextrun"/>
              </w:rPr>
            </w:pPr>
          </w:p>
          <w:p w14:paraId="2E7D2360" w14:textId="5FFE88C5" w:rsidR="005318BA" w:rsidRDefault="005318BA" w:rsidP="00AC6611">
            <w:pPr>
              <w:rPr>
                <w:rStyle w:val="normaltextrun"/>
              </w:rPr>
            </w:pPr>
            <w:r>
              <w:rPr>
                <w:rStyle w:val="normaltextrun"/>
              </w:rPr>
              <w:t>Expert technical knowledge of employment policy</w:t>
            </w:r>
            <w:r w:rsidR="00A84BB5">
              <w:rPr>
                <w:rStyle w:val="normaltextrun"/>
              </w:rPr>
              <w:t xml:space="preserve"> deep understanding of workforce planning</w:t>
            </w:r>
            <w:r>
              <w:rPr>
                <w:rStyle w:val="normaltextrun"/>
              </w:rPr>
              <w:t xml:space="preserve"> and business acumen to demonstrate impact on organisational outcomes</w:t>
            </w:r>
          </w:p>
          <w:p w14:paraId="10DC8845" w14:textId="77777777" w:rsidR="00A84BB5" w:rsidRDefault="00A84BB5" w:rsidP="00AC6611">
            <w:pPr>
              <w:rPr>
                <w:rStyle w:val="normaltextrun"/>
              </w:rPr>
            </w:pPr>
          </w:p>
          <w:p w14:paraId="2BD2711C" w14:textId="28764B3C" w:rsidR="00A84BB5" w:rsidRPr="00B85397" w:rsidRDefault="00A84BB5" w:rsidP="00A84BB5">
            <w:r>
              <w:rPr>
                <w:rStyle w:val="normaltextrun"/>
              </w:rPr>
              <w:t>Expert technical knowledge of Trade Union relationships and application working in a large</w:t>
            </w:r>
            <w:r w:rsidRPr="001C3CC4">
              <w:rPr>
                <w:rStyle w:val="normaltextrun"/>
              </w:rPr>
              <w:t xml:space="preserve"> complex, unionised environment.</w:t>
            </w:r>
          </w:p>
          <w:p w14:paraId="6426492F" w14:textId="77777777" w:rsidR="00A84BB5" w:rsidRDefault="00A84BB5" w:rsidP="00AC6611">
            <w:pPr>
              <w:rPr>
                <w:rStyle w:val="normaltextrun"/>
              </w:rPr>
            </w:pPr>
          </w:p>
          <w:p w14:paraId="4F4EDB62" w14:textId="6F9FA5A5" w:rsidR="000203CD" w:rsidRPr="00B85397" w:rsidRDefault="005318BA" w:rsidP="00D5673D">
            <w:r w:rsidRPr="005318BA">
              <w:t>Strong knowledge of culture change and transformation, including emotional and cultural intelligence to build ethical practice and integrate EDI </w:t>
            </w:r>
          </w:p>
        </w:tc>
        <w:tc>
          <w:tcPr>
            <w:tcW w:w="1985" w:type="dxa"/>
          </w:tcPr>
          <w:p w14:paraId="00503684" w14:textId="77777777" w:rsidR="000203CD" w:rsidRDefault="000203CD" w:rsidP="00944E4F">
            <w:r>
              <w:t>E</w:t>
            </w:r>
          </w:p>
          <w:p w14:paraId="52CF9C2D" w14:textId="77777777" w:rsidR="006A7A20" w:rsidRDefault="006A7A20" w:rsidP="00944E4F"/>
          <w:p w14:paraId="0AE3E09C" w14:textId="77777777" w:rsidR="006A7A20" w:rsidRDefault="006A7A20" w:rsidP="00944E4F"/>
          <w:p w14:paraId="3D259F52" w14:textId="77777777" w:rsidR="006A7A20" w:rsidRDefault="006A7A20" w:rsidP="00944E4F"/>
          <w:p w14:paraId="779F1180" w14:textId="77777777" w:rsidR="005318BA" w:rsidRDefault="005318BA" w:rsidP="00944E4F"/>
          <w:p w14:paraId="43E4DF2E" w14:textId="77777777" w:rsidR="005318BA" w:rsidRDefault="005318BA" w:rsidP="00944E4F"/>
          <w:p w14:paraId="06CCBBED" w14:textId="77777777" w:rsidR="005318BA" w:rsidRPr="00B85397" w:rsidRDefault="005318BA" w:rsidP="00944E4F"/>
          <w:p w14:paraId="20481EE7" w14:textId="77777777" w:rsidR="000203CD" w:rsidRDefault="000203CD" w:rsidP="00944E4F">
            <w:r>
              <w:t>E</w:t>
            </w:r>
          </w:p>
          <w:p w14:paraId="4816FCB5" w14:textId="77777777" w:rsidR="005318BA" w:rsidRDefault="005318BA" w:rsidP="00944E4F"/>
          <w:p w14:paraId="004EEC05" w14:textId="77777777" w:rsidR="005318BA" w:rsidRDefault="005318BA" w:rsidP="00944E4F"/>
          <w:p w14:paraId="053FF66A" w14:textId="77777777" w:rsidR="005318BA" w:rsidRDefault="005318BA" w:rsidP="00944E4F"/>
          <w:p w14:paraId="13696928" w14:textId="77777777" w:rsidR="005318BA" w:rsidRDefault="005318BA" w:rsidP="00944E4F"/>
          <w:p w14:paraId="08DB046B" w14:textId="77777777" w:rsidR="00A84BB5" w:rsidRDefault="00A84BB5" w:rsidP="00944E4F"/>
          <w:p w14:paraId="58E6E8D1" w14:textId="77777777" w:rsidR="00A84BB5" w:rsidRDefault="00A84BB5" w:rsidP="00944E4F"/>
          <w:p w14:paraId="21DDBF18" w14:textId="77777777" w:rsidR="005318BA" w:rsidRPr="00B85397" w:rsidRDefault="005318BA" w:rsidP="00944E4F"/>
          <w:p w14:paraId="3EB44318" w14:textId="77777777" w:rsidR="000203CD" w:rsidRDefault="000203CD" w:rsidP="00944E4F">
            <w:r>
              <w:t>E</w:t>
            </w:r>
          </w:p>
          <w:p w14:paraId="630B1265" w14:textId="77777777" w:rsidR="00A84BB5" w:rsidRDefault="00A84BB5" w:rsidP="00944E4F"/>
          <w:p w14:paraId="7E82E977" w14:textId="77777777" w:rsidR="00A84BB5" w:rsidRDefault="00A84BB5" w:rsidP="00944E4F"/>
          <w:p w14:paraId="5991D385" w14:textId="77777777" w:rsidR="00A84BB5" w:rsidRDefault="00A84BB5" w:rsidP="00944E4F"/>
          <w:p w14:paraId="3EEB0C71" w14:textId="77777777" w:rsidR="00A84BB5" w:rsidRDefault="00A84BB5" w:rsidP="00944E4F"/>
          <w:p w14:paraId="4391CB12" w14:textId="77777777" w:rsidR="00A84BB5" w:rsidRDefault="00A84BB5" w:rsidP="00944E4F"/>
          <w:p w14:paraId="60DE3C91" w14:textId="77777777" w:rsidR="00A84BB5" w:rsidRDefault="00A84BB5" w:rsidP="00944E4F"/>
          <w:p w14:paraId="1F430EC7" w14:textId="48C67E56" w:rsidR="00A84BB5" w:rsidRPr="00B85397" w:rsidRDefault="00A84BB5" w:rsidP="00944E4F">
            <w:r>
              <w:t>E</w:t>
            </w:r>
          </w:p>
        </w:tc>
        <w:tc>
          <w:tcPr>
            <w:tcW w:w="1933" w:type="dxa"/>
          </w:tcPr>
          <w:p w14:paraId="00FABA18" w14:textId="61864C6B" w:rsidR="000203CD" w:rsidRDefault="000203CD" w:rsidP="008E3ABD">
            <w:r>
              <w:t>A / I</w:t>
            </w:r>
          </w:p>
          <w:p w14:paraId="257F0880" w14:textId="77777777" w:rsidR="005318BA" w:rsidRDefault="005318BA" w:rsidP="008E3ABD"/>
          <w:p w14:paraId="63CF421C" w14:textId="77777777" w:rsidR="005318BA" w:rsidRDefault="005318BA" w:rsidP="008E3ABD"/>
          <w:p w14:paraId="1A8F0F54" w14:textId="77777777" w:rsidR="005318BA" w:rsidRDefault="005318BA" w:rsidP="008E3ABD"/>
          <w:p w14:paraId="60CE8937" w14:textId="77777777" w:rsidR="005318BA" w:rsidRDefault="005318BA" w:rsidP="008E3ABD"/>
          <w:p w14:paraId="4A5715E3" w14:textId="77777777" w:rsidR="005318BA" w:rsidRDefault="005318BA" w:rsidP="008E3ABD"/>
          <w:p w14:paraId="45F90DBB" w14:textId="77777777" w:rsidR="005318BA" w:rsidRPr="00B85397" w:rsidRDefault="005318BA" w:rsidP="008E3ABD"/>
          <w:p w14:paraId="2DC1E610" w14:textId="66AF20AA" w:rsidR="000203CD" w:rsidRDefault="000203CD" w:rsidP="008E3ABD">
            <w:r>
              <w:t>A / I</w:t>
            </w:r>
          </w:p>
          <w:p w14:paraId="74B9A699" w14:textId="77777777" w:rsidR="005318BA" w:rsidRDefault="005318BA" w:rsidP="008E3ABD"/>
          <w:p w14:paraId="5958DAFA" w14:textId="77777777" w:rsidR="005318BA" w:rsidRDefault="005318BA" w:rsidP="008E3ABD"/>
          <w:p w14:paraId="5DC553BE" w14:textId="77777777" w:rsidR="005318BA" w:rsidRDefault="005318BA" w:rsidP="008E3ABD"/>
          <w:p w14:paraId="66E6FAFA" w14:textId="77777777" w:rsidR="00A84BB5" w:rsidRDefault="00A84BB5" w:rsidP="008E3ABD"/>
          <w:p w14:paraId="4F7B1990" w14:textId="77777777" w:rsidR="00A84BB5" w:rsidRDefault="00A84BB5" w:rsidP="008E3ABD"/>
          <w:p w14:paraId="5694C4D4" w14:textId="77777777" w:rsidR="005318BA" w:rsidRDefault="005318BA" w:rsidP="008E3ABD"/>
          <w:p w14:paraId="3115A5B6" w14:textId="77777777" w:rsidR="005318BA" w:rsidRPr="00B85397" w:rsidRDefault="005318BA" w:rsidP="008E3ABD"/>
          <w:p w14:paraId="497F1427" w14:textId="77777777" w:rsidR="000203CD" w:rsidRDefault="000203CD" w:rsidP="008E3ABD">
            <w:r>
              <w:t>A / I</w:t>
            </w:r>
          </w:p>
          <w:p w14:paraId="288C8AE2" w14:textId="77777777" w:rsidR="00D5673D" w:rsidRDefault="00D5673D" w:rsidP="008E3ABD"/>
          <w:p w14:paraId="78AA82ED" w14:textId="77777777" w:rsidR="00D5673D" w:rsidRDefault="00D5673D" w:rsidP="008E3ABD"/>
          <w:p w14:paraId="4CABE769" w14:textId="77777777" w:rsidR="00D5673D" w:rsidRDefault="00D5673D" w:rsidP="008E3ABD"/>
          <w:p w14:paraId="279DBC13" w14:textId="77777777" w:rsidR="00D5673D" w:rsidRDefault="00D5673D" w:rsidP="008E3ABD"/>
          <w:p w14:paraId="151BE5A6" w14:textId="77777777" w:rsidR="00D5673D" w:rsidRDefault="00D5673D" w:rsidP="008E3ABD"/>
          <w:p w14:paraId="13D9E477" w14:textId="77777777" w:rsidR="00D5673D" w:rsidRDefault="00D5673D" w:rsidP="008E3ABD"/>
          <w:p w14:paraId="6A9AA967" w14:textId="7F6DB5D6" w:rsidR="00D5673D" w:rsidRPr="00B85397" w:rsidRDefault="00D5673D" w:rsidP="008E3ABD">
            <w:r>
              <w:t>A / I</w:t>
            </w:r>
          </w:p>
        </w:tc>
      </w:tr>
      <w:tr w:rsidR="004169DE" w:rsidRPr="00B85397" w14:paraId="1B55AFA6" w14:textId="77777777" w:rsidTr="52C70040">
        <w:trPr>
          <w:trHeight w:val="9107"/>
        </w:trPr>
        <w:tc>
          <w:tcPr>
            <w:tcW w:w="1838" w:type="dxa"/>
          </w:tcPr>
          <w:p w14:paraId="254393A7" w14:textId="77777777" w:rsidR="004169DE" w:rsidRPr="00B85397" w:rsidRDefault="004169DE">
            <w:pPr>
              <w:rPr>
                <w:b/>
              </w:rPr>
            </w:pPr>
            <w:r w:rsidRPr="00B85397">
              <w:rPr>
                <w:b/>
              </w:rPr>
              <w:lastRenderedPageBreak/>
              <w:t>Qualifications</w:t>
            </w:r>
          </w:p>
          <w:p w14:paraId="2C84335A" w14:textId="77777777" w:rsidR="004169DE" w:rsidRPr="00B85397" w:rsidRDefault="004169DE">
            <w:r w:rsidRPr="00B85397">
              <w:rPr>
                <w:b/>
              </w:rPr>
              <w:t>&amp; Experience</w:t>
            </w:r>
          </w:p>
        </w:tc>
        <w:tc>
          <w:tcPr>
            <w:tcW w:w="3260" w:type="dxa"/>
          </w:tcPr>
          <w:p w14:paraId="48F1F7AA" w14:textId="77777777" w:rsidR="00DB08EE" w:rsidRPr="00DB08EE" w:rsidRDefault="00DB08EE" w:rsidP="00DB08EE">
            <w:r w:rsidRPr="00DB08EE">
              <w:t>Chartered Fellow/Chartered Member of the Chartered Institute of Personnel and Development (Chartered FCIPD/MCIPD) or equivalent HR post-graduate qualification or equivalent by experience   </w:t>
            </w:r>
          </w:p>
          <w:p w14:paraId="05B7206F" w14:textId="77777777" w:rsidR="00DB08EE" w:rsidRPr="00DB08EE" w:rsidRDefault="00DB08EE" w:rsidP="00DB08EE">
            <w:r w:rsidRPr="00DB08EE">
              <w:t>   </w:t>
            </w:r>
          </w:p>
          <w:p w14:paraId="1EC65FD9" w14:textId="77777777" w:rsidR="00E43985" w:rsidRDefault="00DB08EE" w:rsidP="00DB08EE">
            <w:r w:rsidRPr="00DB08EE">
              <w:t>Evidence of continuous professional development   </w:t>
            </w:r>
          </w:p>
          <w:p w14:paraId="327CB78F" w14:textId="77777777" w:rsidR="00E43985" w:rsidRDefault="00E43985" w:rsidP="00DB08EE"/>
          <w:p w14:paraId="5D6404DC" w14:textId="397AB1A8" w:rsidR="00DB08EE" w:rsidRPr="00DB08EE" w:rsidRDefault="00E43985" w:rsidP="00DB08EE">
            <w:r>
              <w:t>Qualification in employment practice or employment law</w:t>
            </w:r>
            <w:r w:rsidR="00DB08EE" w:rsidRPr="00DB08EE">
              <w:t> </w:t>
            </w:r>
          </w:p>
          <w:p w14:paraId="611B5126" w14:textId="77777777" w:rsidR="00DB08EE" w:rsidRPr="00DB08EE" w:rsidRDefault="00DB08EE" w:rsidP="00DB08EE">
            <w:r w:rsidRPr="00DB08EE">
              <w:t>   </w:t>
            </w:r>
          </w:p>
          <w:p w14:paraId="700507DA" w14:textId="77777777" w:rsidR="00DB08EE" w:rsidRPr="00DB08EE" w:rsidRDefault="00DB08EE" w:rsidP="00DB08EE">
            <w:r w:rsidRPr="00DB08EE">
              <w:t>Extensive professional experience in a strategic HR leadership role, preferably within the public sector or a large, complex unionised organisation.  </w:t>
            </w:r>
          </w:p>
          <w:p w14:paraId="0C0B295D" w14:textId="77777777" w:rsidR="00DB08EE" w:rsidRPr="00DB08EE" w:rsidRDefault="00DB08EE" w:rsidP="00DB08EE">
            <w:r w:rsidRPr="00DB08EE">
              <w:t> </w:t>
            </w:r>
          </w:p>
          <w:p w14:paraId="320C77DB" w14:textId="2AAF0FAD" w:rsidR="00DB08EE" w:rsidRDefault="00DB08EE" w:rsidP="00E04FE0">
            <w:r w:rsidRPr="00DB08EE">
              <w:t xml:space="preserve">Proven track record of successfully leading </w:t>
            </w:r>
            <w:r w:rsidR="00BA3B41">
              <w:t xml:space="preserve">employment </w:t>
            </w:r>
            <w:r w:rsidR="00E04FE0">
              <w:t>policy and practice</w:t>
            </w:r>
            <w:r w:rsidRPr="00DB08EE">
              <w:t xml:space="preserve"> initiatives </w:t>
            </w:r>
            <w:r w:rsidR="00E04FE0">
              <w:t>to drive change, improve outcomes and manage risk</w:t>
            </w:r>
          </w:p>
          <w:p w14:paraId="38C8379F" w14:textId="77777777" w:rsidR="00E04FE0" w:rsidRPr="00DB08EE" w:rsidRDefault="00E04FE0" w:rsidP="00E04FE0"/>
          <w:p w14:paraId="235EE234" w14:textId="58FA2AB7" w:rsidR="00DB08EE" w:rsidRPr="00DB08EE" w:rsidRDefault="00DB08EE" w:rsidP="00DB08EE">
            <w:r w:rsidRPr="00DB08EE">
              <w:t>Track record of managing large teams and budgets to deliver the highest standards of HR&amp;OD service delivery and best value, enabling high performance at an organisational level   </w:t>
            </w:r>
          </w:p>
          <w:p w14:paraId="0A18AFF9" w14:textId="77777777" w:rsidR="00DB08EE" w:rsidRPr="00DB08EE" w:rsidRDefault="00DB08EE" w:rsidP="00DB08EE">
            <w:r w:rsidRPr="00DB08EE">
              <w:t>  </w:t>
            </w:r>
          </w:p>
          <w:p w14:paraId="56BC6143" w14:textId="7372EAE5" w:rsidR="00BD6E4F" w:rsidRDefault="00BD6E4F" w:rsidP="00DB08EE">
            <w:r>
              <w:t xml:space="preserve">Proven experience of managing Trade Union relationships and fostering collaboration to </w:t>
            </w:r>
            <w:r w:rsidR="00CB1F6C">
              <w:t>ensure early intervention and proactive and pragmatic resolution of issues</w:t>
            </w:r>
          </w:p>
          <w:p w14:paraId="65B048A6" w14:textId="77777777" w:rsidR="00BD6E4F" w:rsidRDefault="00BD6E4F" w:rsidP="00DB08EE"/>
          <w:p w14:paraId="70239714" w14:textId="13EC2767" w:rsidR="00DB08EE" w:rsidRPr="00DB08EE" w:rsidRDefault="00DB08EE" w:rsidP="00DB08EE">
            <w:r w:rsidRPr="00DB08EE">
              <w:t xml:space="preserve">Outstanding interpersonal skills with a proven ability to be able to engage, </w:t>
            </w:r>
            <w:r w:rsidRPr="00DB08EE">
              <w:lastRenderedPageBreak/>
              <w:t>coach, influence and challenge stakeholders up to an including corporate/political leadership level   </w:t>
            </w:r>
          </w:p>
          <w:p w14:paraId="2067E03D" w14:textId="77777777" w:rsidR="00DB08EE" w:rsidRPr="00DB08EE" w:rsidRDefault="00DB08EE" w:rsidP="00DB08EE">
            <w:r w:rsidRPr="00DB08EE">
              <w:t>  </w:t>
            </w:r>
          </w:p>
          <w:p w14:paraId="4C12554F" w14:textId="11899B07" w:rsidR="00DB08EE" w:rsidRPr="00DB08EE" w:rsidRDefault="00DB08EE" w:rsidP="00DB08EE">
            <w:r w:rsidRPr="00DB08EE">
              <w:t>Excellent strategic thinking, problem solving, cultural and emotional intelligence skills with the ability to interpret data to produce</w:t>
            </w:r>
            <w:r w:rsidR="006F7E2E">
              <w:t xml:space="preserve"> clear </w:t>
            </w:r>
            <w:r w:rsidRPr="00DB08EE">
              <w:t>recommendations with demonstrable experience in using workforce data and external insight to inform strategy and demonstrate  </w:t>
            </w:r>
          </w:p>
          <w:p w14:paraId="765F86AC" w14:textId="77777777" w:rsidR="00DB08EE" w:rsidRPr="00DB08EE" w:rsidRDefault="00DB08EE" w:rsidP="00DB08EE">
            <w:r w:rsidRPr="00DB08EE">
              <w:t>ROI    </w:t>
            </w:r>
          </w:p>
          <w:p w14:paraId="49BE5F8F" w14:textId="77777777" w:rsidR="00DB08EE" w:rsidRPr="00DB08EE" w:rsidRDefault="00DB08EE" w:rsidP="00DB08EE">
            <w:r w:rsidRPr="00DB08EE">
              <w:t>  </w:t>
            </w:r>
          </w:p>
          <w:p w14:paraId="2764BA28" w14:textId="0FF0FBF3" w:rsidR="00DB08EE" w:rsidRPr="00DB08EE" w:rsidRDefault="00DB08EE" w:rsidP="00DB08EE">
            <w:r w:rsidRPr="00DB08EE">
              <w:t xml:space="preserve">Evidence </w:t>
            </w:r>
            <w:r w:rsidR="006F7E2E">
              <w:t xml:space="preserve">of </w:t>
            </w:r>
            <w:proofErr w:type="gramStart"/>
            <w:r w:rsidR="006F7E2E">
              <w:t>high quality</w:t>
            </w:r>
            <w:proofErr w:type="gramEnd"/>
            <w:r w:rsidR="006F7E2E">
              <w:t xml:space="preserve"> </w:t>
            </w:r>
            <w:r w:rsidRPr="00DB08EE">
              <w:t>communication and engagement with excellent verbal and written communication skills in a range of formats for different audiences and purposes   </w:t>
            </w:r>
          </w:p>
          <w:p w14:paraId="5E4655C3" w14:textId="77777777" w:rsidR="00DB08EE" w:rsidRPr="00DB08EE" w:rsidRDefault="00DB08EE" w:rsidP="00DB08EE">
            <w:r w:rsidRPr="00DB08EE">
              <w:t>  </w:t>
            </w:r>
          </w:p>
          <w:p w14:paraId="4B5513BF" w14:textId="77777777" w:rsidR="00DB08EE" w:rsidRPr="00DB08EE" w:rsidRDefault="00DB08EE" w:rsidP="00DB08EE">
            <w:r w:rsidRPr="00DB08EE">
              <w:t>Proven track record of successfully diagnosing organisational issues and designing/implementing strategic HR interventions that deliver measurable impact and mitigate risk </w:t>
            </w:r>
          </w:p>
          <w:p w14:paraId="19E37489" w14:textId="77777777" w:rsidR="00DB08EE" w:rsidRPr="00DB08EE" w:rsidRDefault="00DB08EE" w:rsidP="00DB08EE">
            <w:r w:rsidRPr="00DB08EE">
              <w:t> </w:t>
            </w:r>
          </w:p>
          <w:p w14:paraId="45FA5FB2" w14:textId="77777777" w:rsidR="00DB08EE" w:rsidRPr="00DB08EE" w:rsidRDefault="00DB08EE" w:rsidP="00DB08EE">
            <w:r w:rsidRPr="00DB08EE">
              <w:t>Demonstrable experience of leading and resolving employment risks and issues through application of In-depth knowledge of employment legislation, HR best practices, and local government policies.  </w:t>
            </w:r>
          </w:p>
          <w:p w14:paraId="313604C9" w14:textId="77777777" w:rsidR="00DB08EE" w:rsidRDefault="00DB08EE" w:rsidP="00DB08EE">
            <w:r w:rsidRPr="00DB08EE">
              <w:t> </w:t>
            </w:r>
          </w:p>
          <w:p w14:paraId="1B1653BF" w14:textId="684FFA2C" w:rsidR="00E43985" w:rsidRDefault="00E43985" w:rsidP="00DB08EE">
            <w:r>
              <w:t>Proven ability to negotiate</w:t>
            </w:r>
            <w:r w:rsidR="00C933C0">
              <w:t xml:space="preserve"> successful outcomes in employment proceedings and experience in acting as the employer representative </w:t>
            </w:r>
            <w:r w:rsidR="00C933C0">
              <w:lastRenderedPageBreak/>
              <w:t>in ACAS and employment litigation processes</w:t>
            </w:r>
          </w:p>
          <w:p w14:paraId="521405A0" w14:textId="77777777" w:rsidR="00C933C0" w:rsidRPr="00DB08EE" w:rsidRDefault="00C933C0" w:rsidP="00DB08EE"/>
          <w:p w14:paraId="006253B0" w14:textId="77777777" w:rsidR="00DB08EE" w:rsidRPr="00DB08EE" w:rsidRDefault="00DB08EE" w:rsidP="00DB08EE">
            <w:r w:rsidRPr="00DB08EE">
              <w:t>Ability to navigate a politically sensitive environment advising both Officers and Elected Members with Neutrality, confidence and commercial awareness    </w:t>
            </w:r>
          </w:p>
          <w:p w14:paraId="5731310C" w14:textId="77777777" w:rsidR="00DB08EE" w:rsidRPr="00DB08EE" w:rsidRDefault="00DB08EE" w:rsidP="00DB08EE">
            <w:r w:rsidRPr="00DB08EE">
              <w:t>   </w:t>
            </w:r>
          </w:p>
          <w:p w14:paraId="66B2DAAF" w14:textId="4065432B" w:rsidR="004169DE" w:rsidRPr="00B85397" w:rsidRDefault="00DB08EE" w:rsidP="00BD6E4F">
            <w:r w:rsidRPr="00DB08EE">
              <w:t>Experience of working in government intervention</w:t>
            </w:r>
          </w:p>
        </w:tc>
        <w:tc>
          <w:tcPr>
            <w:tcW w:w="1985" w:type="dxa"/>
          </w:tcPr>
          <w:p w14:paraId="1B2D0BF5" w14:textId="77777777" w:rsidR="004169DE" w:rsidRDefault="004169DE" w:rsidP="00DB08EE">
            <w:r w:rsidRPr="008A365F">
              <w:lastRenderedPageBreak/>
              <w:t>E</w:t>
            </w:r>
          </w:p>
          <w:p w14:paraId="43DAA0DC" w14:textId="77777777" w:rsidR="00DB08EE" w:rsidRDefault="00DB08EE" w:rsidP="00DB08EE"/>
          <w:p w14:paraId="54A58E25" w14:textId="77777777" w:rsidR="00DB08EE" w:rsidRDefault="00DB08EE" w:rsidP="00DB08EE"/>
          <w:p w14:paraId="4C5D78ED" w14:textId="77777777" w:rsidR="00DB08EE" w:rsidRDefault="00DB08EE" w:rsidP="00DB08EE"/>
          <w:p w14:paraId="26D11DC7" w14:textId="77777777" w:rsidR="00DB08EE" w:rsidRDefault="00DB08EE" w:rsidP="00DB08EE"/>
          <w:p w14:paraId="4C014A10" w14:textId="77777777" w:rsidR="00DB08EE" w:rsidRDefault="00DB08EE" w:rsidP="00DB08EE"/>
          <w:p w14:paraId="085BA49B" w14:textId="77777777" w:rsidR="00DB08EE" w:rsidRDefault="00DB08EE" w:rsidP="00DB08EE"/>
          <w:p w14:paraId="52D7E9A6" w14:textId="77777777" w:rsidR="00DB08EE" w:rsidRDefault="00DB08EE" w:rsidP="00DB08EE"/>
          <w:p w14:paraId="5D5AC42D" w14:textId="77777777" w:rsidR="00DB08EE" w:rsidRPr="00B85397" w:rsidRDefault="00DB08EE" w:rsidP="00DB08EE"/>
          <w:p w14:paraId="2A3075EB" w14:textId="77777777" w:rsidR="004169DE" w:rsidRDefault="004169DE" w:rsidP="00DB08EE">
            <w:r w:rsidRPr="008A365F">
              <w:t>E</w:t>
            </w:r>
          </w:p>
          <w:p w14:paraId="3565BFFC" w14:textId="77777777" w:rsidR="00BA3B41" w:rsidRDefault="00BA3B41" w:rsidP="00DB08EE"/>
          <w:p w14:paraId="0B67EB01" w14:textId="77777777" w:rsidR="00BA3B41" w:rsidRPr="00B85397" w:rsidRDefault="00BA3B41" w:rsidP="00DB08EE"/>
          <w:p w14:paraId="20288FE4" w14:textId="5F943E53" w:rsidR="004169DE" w:rsidRDefault="00E43985" w:rsidP="00DB08EE">
            <w:r>
              <w:t>D</w:t>
            </w:r>
          </w:p>
          <w:p w14:paraId="75B63286" w14:textId="77777777" w:rsidR="00BA3B41" w:rsidRDefault="00BA3B41" w:rsidP="00DB08EE"/>
          <w:p w14:paraId="1A7E88BC" w14:textId="77777777" w:rsidR="00BA3B41" w:rsidRDefault="00BA3B41" w:rsidP="00DB08EE"/>
          <w:p w14:paraId="4F24D74C" w14:textId="77777777" w:rsidR="004169DE" w:rsidRDefault="004169DE" w:rsidP="00DB08EE">
            <w:r w:rsidRPr="008A365F">
              <w:t>E</w:t>
            </w:r>
          </w:p>
          <w:p w14:paraId="761A2222" w14:textId="77777777" w:rsidR="00BA3B41" w:rsidRDefault="00BA3B41" w:rsidP="00DB08EE"/>
          <w:p w14:paraId="009C291A" w14:textId="77777777" w:rsidR="00BA3B41" w:rsidRDefault="00BA3B41" w:rsidP="00DB08EE"/>
          <w:p w14:paraId="3FFF570F" w14:textId="77777777" w:rsidR="00BA3B41" w:rsidRDefault="00BA3B41" w:rsidP="00DB08EE"/>
          <w:p w14:paraId="578BF656" w14:textId="77777777" w:rsidR="00BA3B41" w:rsidRDefault="00BA3B41" w:rsidP="00DB08EE"/>
          <w:p w14:paraId="55878288" w14:textId="77777777" w:rsidR="00BA3B41" w:rsidRDefault="00BA3B41" w:rsidP="00DB08EE"/>
          <w:p w14:paraId="37700607" w14:textId="77777777" w:rsidR="00E04FE0" w:rsidRPr="00B85397" w:rsidRDefault="00E04FE0" w:rsidP="00DB08EE"/>
          <w:p w14:paraId="536464A9" w14:textId="77777777" w:rsidR="004169DE" w:rsidRDefault="004169DE" w:rsidP="00DB08EE">
            <w:r w:rsidRPr="008A365F">
              <w:t>E</w:t>
            </w:r>
          </w:p>
          <w:p w14:paraId="6B4FC35B" w14:textId="77777777" w:rsidR="00E04FE0" w:rsidRDefault="00E04FE0" w:rsidP="00DB08EE"/>
          <w:p w14:paraId="06FDCB94" w14:textId="77777777" w:rsidR="00E04FE0" w:rsidRDefault="00E04FE0" w:rsidP="00DB08EE"/>
          <w:p w14:paraId="735CD270" w14:textId="77777777" w:rsidR="00E04FE0" w:rsidRDefault="00E04FE0" w:rsidP="00DB08EE"/>
          <w:p w14:paraId="184C1D17" w14:textId="77777777" w:rsidR="00E04FE0" w:rsidRDefault="00E04FE0" w:rsidP="00DB08EE"/>
          <w:p w14:paraId="3F3DC155" w14:textId="77777777" w:rsidR="00E04FE0" w:rsidRDefault="00E04FE0" w:rsidP="00DB08EE"/>
          <w:p w14:paraId="0D894905" w14:textId="77777777" w:rsidR="006F7E2E" w:rsidRDefault="006F7E2E" w:rsidP="00DB08EE"/>
          <w:p w14:paraId="4D76905E" w14:textId="2ACEABA3" w:rsidR="004169DE" w:rsidRDefault="006F7E2E" w:rsidP="00DB08EE">
            <w:r>
              <w:t>E</w:t>
            </w:r>
          </w:p>
          <w:p w14:paraId="4176C8FF" w14:textId="77777777" w:rsidR="006F7E2E" w:rsidRDefault="006F7E2E" w:rsidP="00DB08EE"/>
          <w:p w14:paraId="614A4E3D" w14:textId="77777777" w:rsidR="006F7E2E" w:rsidRDefault="006F7E2E" w:rsidP="00DB08EE"/>
          <w:p w14:paraId="2BB03BDD" w14:textId="77777777" w:rsidR="006F7E2E" w:rsidRDefault="006F7E2E" w:rsidP="00DB08EE"/>
          <w:p w14:paraId="3B59CA1C" w14:textId="77777777" w:rsidR="006F7E2E" w:rsidRDefault="006F7E2E" w:rsidP="00DB08EE"/>
          <w:p w14:paraId="0EBCDC64" w14:textId="77777777" w:rsidR="006F7E2E" w:rsidRDefault="006F7E2E" w:rsidP="00DB08EE"/>
          <w:p w14:paraId="7DE654D9" w14:textId="77777777" w:rsidR="00E43985" w:rsidRDefault="00E43985" w:rsidP="00DB08EE"/>
          <w:p w14:paraId="347604AF" w14:textId="77777777" w:rsidR="006F7E2E" w:rsidRDefault="006F7E2E" w:rsidP="00DB08EE"/>
          <w:p w14:paraId="7CECA6DC" w14:textId="77777777" w:rsidR="006F7E2E" w:rsidRDefault="006F7E2E" w:rsidP="00DB08EE"/>
          <w:p w14:paraId="74360844" w14:textId="57E8093F" w:rsidR="006F7E2E" w:rsidRDefault="006F7E2E" w:rsidP="00DB08EE">
            <w:r>
              <w:t>E</w:t>
            </w:r>
          </w:p>
          <w:p w14:paraId="0239E313" w14:textId="77777777" w:rsidR="006F7E2E" w:rsidRDefault="006F7E2E" w:rsidP="00DB08EE"/>
          <w:p w14:paraId="1748B547" w14:textId="77777777" w:rsidR="006F7E2E" w:rsidRDefault="006F7E2E" w:rsidP="00DB08EE"/>
          <w:p w14:paraId="15CBFE48" w14:textId="77777777" w:rsidR="00E43985" w:rsidRDefault="00E43985" w:rsidP="00DB08EE"/>
          <w:p w14:paraId="2BC32ECE" w14:textId="77777777" w:rsidR="00E43985" w:rsidRDefault="00E43985" w:rsidP="00DB08EE"/>
          <w:p w14:paraId="3D76E111" w14:textId="77777777" w:rsidR="00E43985" w:rsidRDefault="00E43985" w:rsidP="00DB08EE"/>
          <w:p w14:paraId="6C633988" w14:textId="77777777" w:rsidR="006F7E2E" w:rsidRDefault="006F7E2E" w:rsidP="00DB08EE"/>
          <w:p w14:paraId="48AD9E33" w14:textId="77777777" w:rsidR="006F7E2E" w:rsidRPr="00B85397" w:rsidRDefault="006F7E2E" w:rsidP="00DB08EE"/>
          <w:p w14:paraId="588D5258" w14:textId="797681F6" w:rsidR="004169DE" w:rsidRDefault="006F7E2E" w:rsidP="00DB08EE">
            <w:r>
              <w:t>E</w:t>
            </w:r>
          </w:p>
          <w:p w14:paraId="4F685E0E" w14:textId="77777777" w:rsidR="006F7E2E" w:rsidRDefault="006F7E2E" w:rsidP="00DB08EE"/>
          <w:p w14:paraId="31074094" w14:textId="77777777" w:rsidR="006F7E2E" w:rsidRDefault="006F7E2E" w:rsidP="00DB08EE"/>
          <w:p w14:paraId="4306D4E9" w14:textId="77777777" w:rsidR="006F7E2E" w:rsidRDefault="006F7E2E" w:rsidP="00DB08EE"/>
          <w:p w14:paraId="6B047C9C" w14:textId="77777777" w:rsidR="006F7E2E" w:rsidRDefault="006F7E2E" w:rsidP="00DB08EE"/>
          <w:p w14:paraId="3771A23A" w14:textId="77777777" w:rsidR="006F7E2E" w:rsidRDefault="006F7E2E" w:rsidP="00DB08EE"/>
          <w:p w14:paraId="6DDE40FF" w14:textId="77777777" w:rsidR="006F7E2E" w:rsidRDefault="006F7E2E" w:rsidP="00DB08EE"/>
          <w:p w14:paraId="2EA8D1FF" w14:textId="77777777" w:rsidR="006F7E2E" w:rsidRDefault="006F7E2E" w:rsidP="00DB08EE"/>
          <w:p w14:paraId="42F240B5" w14:textId="77777777" w:rsidR="004169DE" w:rsidRDefault="006F7E2E" w:rsidP="00DB08EE">
            <w:r>
              <w:t>E</w:t>
            </w:r>
          </w:p>
          <w:p w14:paraId="1271FE1E" w14:textId="77777777" w:rsidR="006F7E2E" w:rsidRDefault="006F7E2E" w:rsidP="00DB08EE"/>
          <w:p w14:paraId="2320544F" w14:textId="77777777" w:rsidR="006F7E2E" w:rsidRDefault="006F7E2E" w:rsidP="00DB08EE"/>
          <w:p w14:paraId="385DC94F" w14:textId="77777777" w:rsidR="006F7E2E" w:rsidRDefault="006F7E2E" w:rsidP="00DB08EE"/>
          <w:p w14:paraId="1410377F" w14:textId="77777777" w:rsidR="006F7E2E" w:rsidRDefault="006F7E2E" w:rsidP="00DB08EE"/>
          <w:p w14:paraId="6F393165" w14:textId="77777777" w:rsidR="006F7E2E" w:rsidRDefault="006F7E2E" w:rsidP="00DB08EE"/>
          <w:p w14:paraId="3A1B3D75" w14:textId="77777777" w:rsidR="006F7E2E" w:rsidRDefault="006F7E2E" w:rsidP="00DB08EE"/>
          <w:p w14:paraId="36C52766" w14:textId="77777777" w:rsidR="006F7E2E" w:rsidRDefault="006F7E2E" w:rsidP="00DB08EE"/>
          <w:p w14:paraId="34022D1F" w14:textId="77777777" w:rsidR="006F7E2E" w:rsidRDefault="006F7E2E" w:rsidP="00DB08EE">
            <w:r>
              <w:t>E</w:t>
            </w:r>
          </w:p>
          <w:p w14:paraId="0E64E169" w14:textId="77777777" w:rsidR="006F7E2E" w:rsidRDefault="006F7E2E" w:rsidP="00DB08EE"/>
          <w:p w14:paraId="56B9F99A" w14:textId="77777777" w:rsidR="006F7E2E" w:rsidRDefault="006F7E2E" w:rsidP="00DB08EE"/>
          <w:p w14:paraId="77AFD128" w14:textId="77777777" w:rsidR="006F7E2E" w:rsidRDefault="006F7E2E" w:rsidP="00DB08EE"/>
          <w:p w14:paraId="7FEF4AE4" w14:textId="77777777" w:rsidR="006F7E2E" w:rsidRDefault="006F7E2E" w:rsidP="00DB08EE"/>
          <w:p w14:paraId="4AB76473" w14:textId="77777777" w:rsidR="006F7E2E" w:rsidRDefault="006F7E2E" w:rsidP="00DB08EE"/>
          <w:p w14:paraId="600AAC73" w14:textId="77777777" w:rsidR="006F7E2E" w:rsidRDefault="000D2B8C" w:rsidP="00DB08EE">
            <w:r>
              <w:t>E</w:t>
            </w:r>
          </w:p>
          <w:p w14:paraId="0B6776BC" w14:textId="77777777" w:rsidR="00E43985" w:rsidRDefault="00E43985" w:rsidP="00DB08EE"/>
          <w:p w14:paraId="6BFB3524" w14:textId="77777777" w:rsidR="00E43985" w:rsidRDefault="00E43985" w:rsidP="00DB08EE"/>
          <w:p w14:paraId="722DEBD7" w14:textId="77777777" w:rsidR="00E43985" w:rsidRDefault="00E43985" w:rsidP="00DB08EE"/>
          <w:p w14:paraId="0E0455D5" w14:textId="77777777" w:rsidR="00E43985" w:rsidRDefault="00E43985" w:rsidP="00DB08EE"/>
          <w:p w14:paraId="39CADD0D" w14:textId="77777777" w:rsidR="00E43985" w:rsidRDefault="00E43985" w:rsidP="00DB08EE"/>
          <w:p w14:paraId="268F1147" w14:textId="77777777" w:rsidR="00E43985" w:rsidRDefault="00E43985" w:rsidP="00DB08EE"/>
          <w:p w14:paraId="7F06B51B" w14:textId="77777777" w:rsidR="00E43985" w:rsidRDefault="00E43985" w:rsidP="00DB08EE"/>
          <w:p w14:paraId="5314F138" w14:textId="77777777" w:rsidR="00E43985" w:rsidRDefault="00E43985" w:rsidP="00DB08EE">
            <w:r>
              <w:t>E</w:t>
            </w:r>
          </w:p>
          <w:p w14:paraId="1A85AE6E" w14:textId="77777777" w:rsidR="00E43985" w:rsidRDefault="00E43985" w:rsidP="00DB08EE"/>
          <w:p w14:paraId="1FAD3068" w14:textId="77777777" w:rsidR="00E43985" w:rsidRDefault="00E43985" w:rsidP="00DB08EE"/>
          <w:p w14:paraId="33A37EE1" w14:textId="77777777" w:rsidR="00E43985" w:rsidRDefault="00E43985" w:rsidP="00DB08EE"/>
          <w:p w14:paraId="2730EC58" w14:textId="77777777" w:rsidR="00E43985" w:rsidRDefault="00E43985" w:rsidP="00DB08EE"/>
          <w:p w14:paraId="4477B798" w14:textId="77777777" w:rsidR="00E43985" w:rsidRDefault="00E43985" w:rsidP="00DB08EE"/>
          <w:p w14:paraId="6BDB35D2" w14:textId="77777777" w:rsidR="00E43985" w:rsidRDefault="00E43985" w:rsidP="00DB08EE"/>
          <w:p w14:paraId="217DA951" w14:textId="77777777" w:rsidR="00E43985" w:rsidRDefault="00E43985" w:rsidP="00DB08EE"/>
          <w:p w14:paraId="65B48DB9" w14:textId="77777777" w:rsidR="00E43985" w:rsidRDefault="00E43985" w:rsidP="00DB08EE">
            <w:r>
              <w:t>E</w:t>
            </w:r>
          </w:p>
          <w:p w14:paraId="5E3977D1" w14:textId="77777777" w:rsidR="00C933C0" w:rsidRDefault="00C933C0" w:rsidP="00DB08EE"/>
          <w:p w14:paraId="397FFFA7" w14:textId="77777777" w:rsidR="00C933C0" w:rsidRDefault="00C933C0" w:rsidP="00DB08EE"/>
          <w:p w14:paraId="7AC87C35" w14:textId="77777777" w:rsidR="00C933C0" w:rsidRDefault="00C933C0" w:rsidP="00DB08EE"/>
          <w:p w14:paraId="7D8936D5" w14:textId="77777777" w:rsidR="00C933C0" w:rsidRDefault="00C933C0" w:rsidP="00DB08EE"/>
          <w:p w14:paraId="4C20F430" w14:textId="77777777" w:rsidR="00C933C0" w:rsidRDefault="00C933C0" w:rsidP="00DB08EE"/>
          <w:p w14:paraId="10782ECE" w14:textId="77777777" w:rsidR="00C933C0" w:rsidRDefault="00C933C0" w:rsidP="00DB08EE"/>
          <w:p w14:paraId="6D5DC60D" w14:textId="77777777" w:rsidR="00C933C0" w:rsidRDefault="00C933C0" w:rsidP="00DB08EE"/>
          <w:p w14:paraId="765C6F43" w14:textId="77777777" w:rsidR="00C933C0" w:rsidRDefault="00C933C0" w:rsidP="00DB08EE"/>
          <w:p w14:paraId="0E0E61BF" w14:textId="77777777" w:rsidR="00C933C0" w:rsidRDefault="00C933C0" w:rsidP="00DB08EE">
            <w:r>
              <w:t>E</w:t>
            </w:r>
          </w:p>
          <w:p w14:paraId="232F6CD8" w14:textId="77777777" w:rsidR="00C933C0" w:rsidRDefault="00C933C0" w:rsidP="00DB08EE"/>
          <w:p w14:paraId="659D4596" w14:textId="77777777" w:rsidR="00C933C0" w:rsidRDefault="00C933C0" w:rsidP="00DB08EE"/>
          <w:p w14:paraId="1A37017A" w14:textId="77777777" w:rsidR="00C933C0" w:rsidRDefault="00C933C0" w:rsidP="00DB08EE"/>
          <w:p w14:paraId="010DFF98" w14:textId="77777777" w:rsidR="00C933C0" w:rsidRDefault="00C933C0" w:rsidP="00DB08EE"/>
          <w:p w14:paraId="19385292" w14:textId="77777777" w:rsidR="00C933C0" w:rsidRDefault="00C933C0" w:rsidP="00DB08EE"/>
          <w:p w14:paraId="27E0C5D6" w14:textId="77777777" w:rsidR="00C933C0" w:rsidRDefault="00C933C0" w:rsidP="00DB08EE"/>
          <w:p w14:paraId="5C572A72" w14:textId="77777777" w:rsidR="00C933C0" w:rsidRDefault="00C933C0" w:rsidP="00DB08EE"/>
          <w:p w14:paraId="171BD9B4" w14:textId="227B7BB9" w:rsidR="00C933C0" w:rsidRDefault="00C933C0" w:rsidP="00DB08EE">
            <w:r>
              <w:t>E</w:t>
            </w:r>
          </w:p>
          <w:p w14:paraId="7FC27F24" w14:textId="77777777" w:rsidR="00C933C0" w:rsidRDefault="00C933C0" w:rsidP="00DB08EE"/>
          <w:p w14:paraId="53A78AA1" w14:textId="77777777" w:rsidR="00C933C0" w:rsidRDefault="00C933C0" w:rsidP="00DB08EE"/>
          <w:p w14:paraId="48AA445A" w14:textId="77777777" w:rsidR="00C933C0" w:rsidRDefault="00C933C0" w:rsidP="00DB08EE"/>
          <w:p w14:paraId="5CBE3FE5" w14:textId="77777777" w:rsidR="00C933C0" w:rsidRDefault="00C933C0" w:rsidP="00DB08EE"/>
          <w:p w14:paraId="43133377" w14:textId="77777777" w:rsidR="00C933C0" w:rsidRDefault="00C933C0" w:rsidP="00DB08EE"/>
          <w:p w14:paraId="675EFCE8" w14:textId="77777777" w:rsidR="00C933C0" w:rsidRDefault="00C933C0" w:rsidP="00DB08EE"/>
          <w:p w14:paraId="5DCD3243" w14:textId="77777777" w:rsidR="00C933C0" w:rsidRDefault="00C933C0" w:rsidP="00DB08EE"/>
          <w:p w14:paraId="767C675A" w14:textId="2BA438B4" w:rsidR="00C933C0" w:rsidRPr="00B85397" w:rsidRDefault="008B727F" w:rsidP="008B727F">
            <w:r>
              <w:t>D</w:t>
            </w:r>
          </w:p>
        </w:tc>
        <w:tc>
          <w:tcPr>
            <w:tcW w:w="1933" w:type="dxa"/>
          </w:tcPr>
          <w:p w14:paraId="20954C69" w14:textId="77777777" w:rsidR="004169DE" w:rsidRDefault="004169DE" w:rsidP="009102E6">
            <w:r>
              <w:lastRenderedPageBreak/>
              <w:t>A</w:t>
            </w:r>
          </w:p>
          <w:p w14:paraId="3406D234" w14:textId="77777777" w:rsidR="00BA3B41" w:rsidRDefault="00BA3B41" w:rsidP="009102E6"/>
          <w:p w14:paraId="120951BF" w14:textId="77777777" w:rsidR="00BA3B41" w:rsidRDefault="00BA3B41" w:rsidP="009102E6"/>
          <w:p w14:paraId="16ECF6C4" w14:textId="77777777" w:rsidR="00BA3B41" w:rsidRDefault="00BA3B41" w:rsidP="009102E6"/>
          <w:p w14:paraId="370DEF1F" w14:textId="77777777" w:rsidR="00BA3B41" w:rsidRDefault="00BA3B41" w:rsidP="009102E6"/>
          <w:p w14:paraId="5B7BDA34" w14:textId="77777777" w:rsidR="00BA3B41" w:rsidRDefault="00BA3B41" w:rsidP="009102E6"/>
          <w:p w14:paraId="70F35EC5" w14:textId="77777777" w:rsidR="00BA3B41" w:rsidRDefault="00BA3B41" w:rsidP="009102E6"/>
          <w:p w14:paraId="6D62BE82" w14:textId="77777777" w:rsidR="00BA3B41" w:rsidRDefault="00BA3B41" w:rsidP="009102E6"/>
          <w:p w14:paraId="45C140D0" w14:textId="77777777" w:rsidR="00BA3B41" w:rsidRDefault="00BA3B41" w:rsidP="009102E6"/>
          <w:p w14:paraId="1AA11810" w14:textId="0B2FD9C0" w:rsidR="004169DE" w:rsidRDefault="004169DE" w:rsidP="009102E6">
            <w:r>
              <w:t>A</w:t>
            </w:r>
          </w:p>
          <w:p w14:paraId="57E27043" w14:textId="77777777" w:rsidR="00BA3B41" w:rsidRDefault="00BA3B41" w:rsidP="009102E6"/>
          <w:p w14:paraId="15D33918" w14:textId="77777777" w:rsidR="00BA3B41" w:rsidRPr="00B85397" w:rsidRDefault="00BA3B41" w:rsidP="009102E6"/>
          <w:p w14:paraId="3124CEF7" w14:textId="13A832BF" w:rsidR="004169DE" w:rsidRDefault="004169DE" w:rsidP="009102E6">
            <w:r>
              <w:t xml:space="preserve">A </w:t>
            </w:r>
          </w:p>
          <w:p w14:paraId="7DB4E201" w14:textId="77777777" w:rsidR="00BA3B41" w:rsidRDefault="00BA3B41" w:rsidP="009102E6"/>
          <w:p w14:paraId="17049C65" w14:textId="77777777" w:rsidR="00BA3B41" w:rsidRPr="00B85397" w:rsidRDefault="00BA3B41" w:rsidP="009102E6"/>
          <w:p w14:paraId="6C24B990" w14:textId="77777777" w:rsidR="004169DE" w:rsidRDefault="004169DE" w:rsidP="009102E6">
            <w:r>
              <w:t>A / I</w:t>
            </w:r>
          </w:p>
          <w:p w14:paraId="48592130" w14:textId="77777777" w:rsidR="00E04FE0" w:rsidRDefault="00E04FE0" w:rsidP="009102E6"/>
          <w:p w14:paraId="23DDEE8A" w14:textId="77777777" w:rsidR="00E04FE0" w:rsidRDefault="00E04FE0" w:rsidP="009102E6"/>
          <w:p w14:paraId="7F978238" w14:textId="77777777" w:rsidR="00E04FE0" w:rsidRDefault="00E04FE0" w:rsidP="009102E6"/>
          <w:p w14:paraId="243E4329" w14:textId="77777777" w:rsidR="00E04FE0" w:rsidRDefault="00E04FE0" w:rsidP="009102E6"/>
          <w:p w14:paraId="79604028" w14:textId="77777777" w:rsidR="00E04FE0" w:rsidRDefault="00E04FE0" w:rsidP="009102E6"/>
          <w:p w14:paraId="35ABB9E5" w14:textId="77777777" w:rsidR="00E04FE0" w:rsidRPr="00B85397" w:rsidRDefault="00E04FE0" w:rsidP="009102E6"/>
          <w:p w14:paraId="57EFAF5D" w14:textId="3BA17EAA" w:rsidR="004169DE" w:rsidRDefault="00E04FE0" w:rsidP="009102E6">
            <w:r>
              <w:t>A</w:t>
            </w:r>
            <w:r w:rsidR="004169DE">
              <w:t xml:space="preserve"> / I</w:t>
            </w:r>
          </w:p>
          <w:p w14:paraId="19960A62" w14:textId="77777777" w:rsidR="00E04FE0" w:rsidRDefault="00E04FE0" w:rsidP="009102E6"/>
          <w:p w14:paraId="562CAA37" w14:textId="77777777" w:rsidR="00E04FE0" w:rsidRDefault="00E04FE0" w:rsidP="009102E6"/>
          <w:p w14:paraId="0B09E804" w14:textId="77777777" w:rsidR="00E04FE0" w:rsidRDefault="00E04FE0" w:rsidP="009102E6"/>
          <w:p w14:paraId="7E479E81" w14:textId="77777777" w:rsidR="00E04FE0" w:rsidRDefault="00E04FE0" w:rsidP="009102E6"/>
          <w:p w14:paraId="794C4E4D" w14:textId="77777777" w:rsidR="00E04FE0" w:rsidRDefault="00E04FE0" w:rsidP="009102E6"/>
          <w:p w14:paraId="5C9CC8A6" w14:textId="77777777" w:rsidR="00E04FE0" w:rsidRPr="00B85397" w:rsidRDefault="00E04FE0" w:rsidP="009102E6"/>
          <w:p w14:paraId="21276BE9" w14:textId="09861D05" w:rsidR="004169DE" w:rsidRDefault="006F7E2E" w:rsidP="009102E6">
            <w:r>
              <w:t>A</w:t>
            </w:r>
            <w:r w:rsidR="004169DE">
              <w:t xml:space="preserve"> / I</w:t>
            </w:r>
          </w:p>
          <w:p w14:paraId="4B14AF9F" w14:textId="77777777" w:rsidR="006F7E2E" w:rsidRDefault="006F7E2E" w:rsidP="009102E6"/>
          <w:p w14:paraId="35248822" w14:textId="77777777" w:rsidR="006F7E2E" w:rsidRDefault="006F7E2E" w:rsidP="009102E6"/>
          <w:p w14:paraId="41BBFC95" w14:textId="77777777" w:rsidR="006F7E2E" w:rsidRDefault="006F7E2E" w:rsidP="009102E6"/>
          <w:p w14:paraId="165B12A7" w14:textId="77777777" w:rsidR="006F7E2E" w:rsidRDefault="006F7E2E" w:rsidP="009102E6"/>
          <w:p w14:paraId="49F18852" w14:textId="77777777" w:rsidR="006F7E2E" w:rsidRDefault="006F7E2E" w:rsidP="009102E6"/>
          <w:p w14:paraId="04B2C61D" w14:textId="77777777" w:rsidR="006F7E2E" w:rsidRDefault="006F7E2E" w:rsidP="009102E6"/>
          <w:p w14:paraId="4C9F021F" w14:textId="77777777" w:rsidR="00E43985" w:rsidRDefault="00E43985" w:rsidP="009102E6"/>
          <w:p w14:paraId="509A1E36" w14:textId="77777777" w:rsidR="006F7E2E" w:rsidRPr="00B85397" w:rsidRDefault="006F7E2E" w:rsidP="009102E6"/>
          <w:p w14:paraId="00639D6B" w14:textId="77777777" w:rsidR="004169DE" w:rsidRDefault="004169DE" w:rsidP="007B2785">
            <w:r>
              <w:t>A / I</w:t>
            </w:r>
          </w:p>
          <w:p w14:paraId="7F13D0D0" w14:textId="77777777" w:rsidR="006F7E2E" w:rsidRDefault="006F7E2E" w:rsidP="007B2785"/>
          <w:p w14:paraId="1DFE53D0" w14:textId="77777777" w:rsidR="006F7E2E" w:rsidRDefault="006F7E2E" w:rsidP="007B2785"/>
          <w:p w14:paraId="3E94EB30" w14:textId="77777777" w:rsidR="006F7E2E" w:rsidRDefault="006F7E2E" w:rsidP="007B2785"/>
          <w:p w14:paraId="1AD9092F" w14:textId="77777777" w:rsidR="00E43985" w:rsidRDefault="00E43985" w:rsidP="007B2785"/>
          <w:p w14:paraId="69076D71" w14:textId="77777777" w:rsidR="00E43985" w:rsidRDefault="00E43985" w:rsidP="007B2785"/>
          <w:p w14:paraId="280961F7" w14:textId="77777777" w:rsidR="00E43985" w:rsidRDefault="00E43985" w:rsidP="007B2785"/>
          <w:p w14:paraId="52AF6B82" w14:textId="77777777" w:rsidR="006F7E2E" w:rsidRDefault="006F7E2E" w:rsidP="007B2785"/>
          <w:p w14:paraId="46525484" w14:textId="77777777" w:rsidR="004169DE" w:rsidRDefault="004169DE" w:rsidP="007B2785">
            <w:r>
              <w:t>A / I</w:t>
            </w:r>
          </w:p>
          <w:p w14:paraId="764668ED" w14:textId="77777777" w:rsidR="006F7E2E" w:rsidRDefault="006F7E2E" w:rsidP="007B2785"/>
          <w:p w14:paraId="1F6E5700" w14:textId="77777777" w:rsidR="006F7E2E" w:rsidRDefault="006F7E2E" w:rsidP="007B2785"/>
          <w:p w14:paraId="60C3721E" w14:textId="77777777" w:rsidR="006F7E2E" w:rsidRDefault="006F7E2E" w:rsidP="007B2785"/>
          <w:p w14:paraId="572472D2" w14:textId="77777777" w:rsidR="006F7E2E" w:rsidRDefault="006F7E2E" w:rsidP="007B2785"/>
          <w:p w14:paraId="72949356" w14:textId="77777777" w:rsidR="006F7E2E" w:rsidRDefault="006F7E2E" w:rsidP="007B2785"/>
          <w:p w14:paraId="1C4F4CA7" w14:textId="77777777" w:rsidR="006F7E2E" w:rsidRDefault="006F7E2E" w:rsidP="007B2785"/>
          <w:p w14:paraId="0DCC9812" w14:textId="77777777" w:rsidR="006F7E2E" w:rsidRDefault="006F7E2E" w:rsidP="007B2785"/>
          <w:p w14:paraId="7705433E" w14:textId="77777777" w:rsidR="006F7E2E" w:rsidRDefault="006F7E2E" w:rsidP="007B2785">
            <w:r>
              <w:t>A / I</w:t>
            </w:r>
          </w:p>
          <w:p w14:paraId="0FF39B11" w14:textId="77777777" w:rsidR="006F7E2E" w:rsidRDefault="006F7E2E" w:rsidP="007B2785"/>
          <w:p w14:paraId="39AEB7F8" w14:textId="77777777" w:rsidR="006F7E2E" w:rsidRDefault="006F7E2E" w:rsidP="007B2785"/>
          <w:p w14:paraId="35A9AFF1" w14:textId="77777777" w:rsidR="006F7E2E" w:rsidRDefault="006F7E2E" w:rsidP="007B2785"/>
          <w:p w14:paraId="3892C04C" w14:textId="77777777" w:rsidR="006F7E2E" w:rsidRDefault="006F7E2E" w:rsidP="007B2785"/>
          <w:p w14:paraId="0C359602" w14:textId="77777777" w:rsidR="006F7E2E" w:rsidRDefault="006F7E2E" w:rsidP="007B2785"/>
          <w:p w14:paraId="6DC9551C" w14:textId="77777777" w:rsidR="006F7E2E" w:rsidRDefault="006F7E2E" w:rsidP="007B2785"/>
          <w:p w14:paraId="3E92A785" w14:textId="77777777" w:rsidR="006F7E2E" w:rsidRDefault="006F7E2E" w:rsidP="007B2785"/>
          <w:p w14:paraId="5C046013" w14:textId="77777777" w:rsidR="006F7E2E" w:rsidRDefault="006F7E2E" w:rsidP="007B2785">
            <w:r>
              <w:t>A / I</w:t>
            </w:r>
          </w:p>
          <w:p w14:paraId="5DD4DD7D" w14:textId="77777777" w:rsidR="000D2B8C" w:rsidRDefault="000D2B8C" w:rsidP="007B2785"/>
          <w:p w14:paraId="5DA73B85" w14:textId="77777777" w:rsidR="000D2B8C" w:rsidRDefault="000D2B8C" w:rsidP="007B2785"/>
          <w:p w14:paraId="5C8F9144" w14:textId="77777777" w:rsidR="000D2B8C" w:rsidRDefault="000D2B8C" w:rsidP="007B2785"/>
          <w:p w14:paraId="1C942F0E" w14:textId="77777777" w:rsidR="000D2B8C" w:rsidRDefault="000D2B8C" w:rsidP="007B2785"/>
          <w:p w14:paraId="090D320A" w14:textId="77777777" w:rsidR="000D2B8C" w:rsidRDefault="000D2B8C" w:rsidP="007B2785"/>
          <w:p w14:paraId="489F4C2C" w14:textId="77777777" w:rsidR="000D2B8C" w:rsidRDefault="000D2B8C" w:rsidP="007B2785">
            <w:r>
              <w:t>A / I</w:t>
            </w:r>
          </w:p>
          <w:p w14:paraId="27FD6BA7" w14:textId="77777777" w:rsidR="00E43985" w:rsidRDefault="00E43985" w:rsidP="007B2785"/>
          <w:p w14:paraId="69A7B512" w14:textId="77777777" w:rsidR="00E43985" w:rsidRDefault="00E43985" w:rsidP="007B2785"/>
          <w:p w14:paraId="107B0108" w14:textId="77777777" w:rsidR="00E43985" w:rsidRDefault="00E43985" w:rsidP="007B2785"/>
          <w:p w14:paraId="005D441A" w14:textId="77777777" w:rsidR="00E43985" w:rsidRDefault="00E43985" w:rsidP="007B2785"/>
          <w:p w14:paraId="4888FC26" w14:textId="77777777" w:rsidR="00E43985" w:rsidRDefault="00E43985" w:rsidP="007B2785"/>
          <w:p w14:paraId="4951435B" w14:textId="77777777" w:rsidR="00E43985" w:rsidRDefault="00E43985" w:rsidP="007B2785"/>
          <w:p w14:paraId="6FE7FFCD" w14:textId="77777777" w:rsidR="00E43985" w:rsidRDefault="00E43985" w:rsidP="007B2785"/>
          <w:p w14:paraId="506E8E2D" w14:textId="77777777" w:rsidR="00E43985" w:rsidRDefault="00E43985" w:rsidP="007B2785">
            <w:r>
              <w:t xml:space="preserve">A / I </w:t>
            </w:r>
          </w:p>
          <w:p w14:paraId="11ECD309" w14:textId="77777777" w:rsidR="00E43985" w:rsidRDefault="00E43985" w:rsidP="007B2785"/>
          <w:p w14:paraId="5C6B5C11" w14:textId="77777777" w:rsidR="00E43985" w:rsidRDefault="00E43985" w:rsidP="007B2785"/>
          <w:p w14:paraId="31D5400C" w14:textId="77777777" w:rsidR="00E43985" w:rsidRDefault="00E43985" w:rsidP="007B2785"/>
          <w:p w14:paraId="69BA86BA" w14:textId="77777777" w:rsidR="00E43985" w:rsidRDefault="00E43985" w:rsidP="007B2785"/>
          <w:p w14:paraId="3A98EC75" w14:textId="77777777" w:rsidR="00E43985" w:rsidRDefault="00E43985" w:rsidP="007B2785"/>
          <w:p w14:paraId="74CEBE32" w14:textId="77777777" w:rsidR="00E43985" w:rsidRDefault="00E43985" w:rsidP="007B2785"/>
          <w:p w14:paraId="17B17246" w14:textId="77777777" w:rsidR="00E43985" w:rsidRDefault="00E43985" w:rsidP="007B2785"/>
          <w:p w14:paraId="46972E33" w14:textId="7FBA788F" w:rsidR="00C933C0" w:rsidRDefault="00E43985" w:rsidP="007B2785">
            <w:r>
              <w:t xml:space="preserve">A / </w:t>
            </w:r>
            <w:r w:rsidR="00C933C0">
              <w:t>I</w:t>
            </w:r>
          </w:p>
          <w:p w14:paraId="562C3FDD" w14:textId="77777777" w:rsidR="00C933C0" w:rsidRDefault="00C933C0" w:rsidP="007B2785"/>
          <w:p w14:paraId="25812202" w14:textId="77777777" w:rsidR="00C933C0" w:rsidRDefault="00C933C0" w:rsidP="007B2785"/>
          <w:p w14:paraId="0841D567" w14:textId="77777777" w:rsidR="00C933C0" w:rsidRDefault="00C933C0" w:rsidP="007B2785"/>
          <w:p w14:paraId="2550183E" w14:textId="77777777" w:rsidR="00C933C0" w:rsidRDefault="00C933C0" w:rsidP="007B2785"/>
          <w:p w14:paraId="0BAF2BCC" w14:textId="77777777" w:rsidR="00C933C0" w:rsidRDefault="00C933C0" w:rsidP="007B2785"/>
          <w:p w14:paraId="79082FAE" w14:textId="77777777" w:rsidR="00C933C0" w:rsidRDefault="00C933C0" w:rsidP="007B2785"/>
          <w:p w14:paraId="678E4A45" w14:textId="77777777" w:rsidR="00C933C0" w:rsidRDefault="00C933C0" w:rsidP="007B2785"/>
          <w:p w14:paraId="79DBC8FD" w14:textId="77777777" w:rsidR="00C933C0" w:rsidRDefault="00C933C0" w:rsidP="007B2785"/>
          <w:p w14:paraId="2A38B2D7" w14:textId="77777777" w:rsidR="00E43985" w:rsidRDefault="00E43985" w:rsidP="007B2785">
            <w:r>
              <w:t xml:space="preserve">I </w:t>
            </w:r>
          </w:p>
          <w:p w14:paraId="7A772AEB" w14:textId="77777777" w:rsidR="008B727F" w:rsidRDefault="008B727F" w:rsidP="007B2785"/>
          <w:p w14:paraId="1CD59D65" w14:textId="77777777" w:rsidR="008B727F" w:rsidRDefault="008B727F" w:rsidP="007B2785"/>
          <w:p w14:paraId="684C17AF" w14:textId="77777777" w:rsidR="008B727F" w:rsidRDefault="008B727F" w:rsidP="007B2785"/>
          <w:p w14:paraId="03B09272" w14:textId="77777777" w:rsidR="008B727F" w:rsidRDefault="008B727F" w:rsidP="007B2785"/>
          <w:p w14:paraId="0E543B11" w14:textId="77777777" w:rsidR="008B727F" w:rsidRDefault="008B727F" w:rsidP="007B2785"/>
          <w:p w14:paraId="281FA9D1" w14:textId="77777777" w:rsidR="008B727F" w:rsidRDefault="008B727F" w:rsidP="007B2785"/>
          <w:p w14:paraId="7BC913F5" w14:textId="77777777" w:rsidR="008B727F" w:rsidRDefault="008B727F" w:rsidP="007B2785"/>
          <w:p w14:paraId="3F20F8AC" w14:textId="3BF7B2E0" w:rsidR="008B727F" w:rsidRDefault="008B727F" w:rsidP="007B2785">
            <w:r>
              <w:t xml:space="preserve">A / I </w:t>
            </w:r>
          </w:p>
          <w:p w14:paraId="1255DDA2" w14:textId="77777777" w:rsidR="008B727F" w:rsidRDefault="008B727F" w:rsidP="007B2785"/>
          <w:p w14:paraId="20042D07" w14:textId="77777777" w:rsidR="008B727F" w:rsidRDefault="008B727F" w:rsidP="007B2785"/>
          <w:p w14:paraId="47D2BD8C" w14:textId="77777777" w:rsidR="008B727F" w:rsidRDefault="008B727F" w:rsidP="007B2785"/>
          <w:p w14:paraId="7A2AFF36" w14:textId="77777777" w:rsidR="008B727F" w:rsidRDefault="008B727F" w:rsidP="007B2785"/>
          <w:p w14:paraId="7E0B5E9E" w14:textId="77777777" w:rsidR="008B727F" w:rsidRDefault="008B727F" w:rsidP="007B2785"/>
          <w:p w14:paraId="1E37AD7F" w14:textId="77777777" w:rsidR="008B727F" w:rsidRDefault="008B727F" w:rsidP="007B2785"/>
          <w:p w14:paraId="1289C076" w14:textId="77777777" w:rsidR="008B727F" w:rsidRDefault="008B727F" w:rsidP="007B2785"/>
          <w:p w14:paraId="1D95EA99" w14:textId="49A92650" w:rsidR="008B727F" w:rsidRPr="00B85397" w:rsidRDefault="008B727F" w:rsidP="007B2785">
            <w:r>
              <w:t>I</w:t>
            </w:r>
          </w:p>
        </w:tc>
      </w:tr>
      <w:tr w:rsidR="004C5A44" w:rsidRPr="00B85397" w14:paraId="35B0D62D" w14:textId="77777777" w:rsidTr="52C70040">
        <w:trPr>
          <w:trHeight w:val="832"/>
        </w:trPr>
        <w:tc>
          <w:tcPr>
            <w:tcW w:w="1838" w:type="dxa"/>
            <w:shd w:val="clear" w:color="auto" w:fill="4472C4" w:themeFill="accent1"/>
          </w:tcPr>
          <w:p w14:paraId="41403265" w14:textId="77777777" w:rsidR="004C5A44" w:rsidRPr="00F27A69" w:rsidRDefault="004C5A44">
            <w:pPr>
              <w:rPr>
                <w:b/>
                <w:color w:val="FFFFFF" w:themeColor="background1"/>
                <w:sz w:val="22"/>
                <w:szCs w:val="22"/>
              </w:rPr>
            </w:pPr>
            <w:r w:rsidRPr="00F27A69">
              <w:rPr>
                <w:b/>
                <w:color w:val="FFFFFF" w:themeColor="background1"/>
                <w:sz w:val="22"/>
                <w:szCs w:val="22"/>
              </w:rPr>
              <w:lastRenderedPageBreak/>
              <w:t>Living the TOWER Values sets out the essential behaviours required of all staff.</w:t>
            </w:r>
          </w:p>
        </w:tc>
        <w:tc>
          <w:tcPr>
            <w:tcW w:w="3260" w:type="dxa"/>
            <w:shd w:val="clear" w:color="auto" w:fill="4472C4" w:themeFill="accent1"/>
          </w:tcPr>
          <w:p w14:paraId="56DA2448" w14:textId="77777777" w:rsidR="004C5A44" w:rsidRPr="00F27A69" w:rsidRDefault="004C5A44">
            <w:pPr>
              <w:rPr>
                <w:b/>
                <w:color w:val="FFFFFF" w:themeColor="background1"/>
                <w:sz w:val="22"/>
                <w:szCs w:val="22"/>
              </w:rPr>
            </w:pPr>
          </w:p>
        </w:tc>
        <w:tc>
          <w:tcPr>
            <w:tcW w:w="1985" w:type="dxa"/>
            <w:shd w:val="clear" w:color="auto" w:fill="4472C4" w:themeFill="accent1"/>
          </w:tcPr>
          <w:p w14:paraId="09AEC4F6" w14:textId="77777777" w:rsidR="004C5A44" w:rsidRPr="00F27A69" w:rsidRDefault="004C5A44">
            <w:pPr>
              <w:rPr>
                <w:b/>
                <w:color w:val="FFFFFF" w:themeColor="background1"/>
                <w:sz w:val="22"/>
                <w:szCs w:val="22"/>
              </w:rPr>
            </w:pPr>
            <w:r w:rsidRPr="00F27A69">
              <w:rPr>
                <w:b/>
                <w:color w:val="FFFFFF" w:themeColor="background1"/>
                <w:sz w:val="22"/>
                <w:szCs w:val="22"/>
              </w:rPr>
              <w:t>They are aligned to the organisation’s five TOWER Values</w:t>
            </w:r>
          </w:p>
        </w:tc>
        <w:tc>
          <w:tcPr>
            <w:tcW w:w="1933" w:type="dxa"/>
            <w:shd w:val="clear" w:color="auto" w:fill="4472C4" w:themeFill="accent1"/>
          </w:tcPr>
          <w:p w14:paraId="10C6CCF0" w14:textId="77777777" w:rsidR="004C5A44" w:rsidRPr="00F27A69" w:rsidRDefault="004C5A44">
            <w:pPr>
              <w:rPr>
                <w:b/>
                <w:color w:val="FFFFFF" w:themeColor="background1"/>
                <w:u w:val="single"/>
              </w:rPr>
            </w:pPr>
          </w:p>
        </w:tc>
      </w:tr>
      <w:tr w:rsidR="004C5A44" w:rsidRPr="00B85397" w14:paraId="3F99EED2" w14:textId="77777777" w:rsidTr="52C70040">
        <w:trPr>
          <w:trHeight w:val="832"/>
        </w:trPr>
        <w:tc>
          <w:tcPr>
            <w:tcW w:w="1838"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260" w:type="dxa"/>
          </w:tcPr>
          <w:p w14:paraId="5EA8C6E4" w14:textId="5878CB34" w:rsidR="004C5A44" w:rsidRPr="00A71C64" w:rsidRDefault="000B71AE">
            <w:pPr>
              <w:rPr>
                <w:i/>
              </w:rPr>
            </w:pPr>
            <w:r w:rsidRPr="000C617E">
              <w:rPr>
                <w:iCs/>
              </w:rPr>
              <w:t>Builds effective alliances with a wide range of stakeholders and partners to achieve better outcomes.</w:t>
            </w:r>
          </w:p>
        </w:tc>
        <w:tc>
          <w:tcPr>
            <w:tcW w:w="1985" w:type="dxa"/>
          </w:tcPr>
          <w:p w14:paraId="0BE30ADF" w14:textId="53BAA595" w:rsidR="004C5A44" w:rsidRPr="000B71AE" w:rsidRDefault="000B71AE" w:rsidP="001779BA">
            <w:pPr>
              <w:jc w:val="center"/>
              <w:rPr>
                <w:bCs/>
              </w:rPr>
            </w:pPr>
            <w:r w:rsidRPr="000B71AE">
              <w:rPr>
                <w:bCs/>
              </w:rPr>
              <w:t>E</w:t>
            </w:r>
          </w:p>
        </w:tc>
        <w:tc>
          <w:tcPr>
            <w:tcW w:w="1933" w:type="dxa"/>
          </w:tcPr>
          <w:p w14:paraId="2024D206" w14:textId="2885B17B" w:rsidR="004C5A44" w:rsidRPr="000B71AE" w:rsidRDefault="000B71AE" w:rsidP="001779BA">
            <w:pPr>
              <w:jc w:val="center"/>
              <w:rPr>
                <w:bCs/>
              </w:rPr>
            </w:pPr>
            <w:r w:rsidRPr="000B71AE">
              <w:rPr>
                <w:bCs/>
              </w:rPr>
              <w:t>A</w:t>
            </w:r>
            <w:r w:rsidR="00286062">
              <w:rPr>
                <w:bCs/>
              </w:rPr>
              <w:t xml:space="preserve"> </w:t>
            </w:r>
            <w:r w:rsidRPr="000B71AE">
              <w:rPr>
                <w:bCs/>
              </w:rPr>
              <w:t>/</w:t>
            </w:r>
            <w:r w:rsidR="00286062">
              <w:rPr>
                <w:bCs/>
              </w:rPr>
              <w:t xml:space="preserve"> </w:t>
            </w:r>
            <w:r w:rsidRPr="000B71AE">
              <w:rPr>
                <w:bCs/>
              </w:rPr>
              <w:t>I</w:t>
            </w:r>
          </w:p>
        </w:tc>
      </w:tr>
      <w:tr w:rsidR="000B71AE" w:rsidRPr="00B85397" w14:paraId="342E9AAB" w14:textId="77777777" w:rsidTr="52C70040">
        <w:trPr>
          <w:trHeight w:val="898"/>
        </w:trPr>
        <w:tc>
          <w:tcPr>
            <w:tcW w:w="1838" w:type="dxa"/>
          </w:tcPr>
          <w:p w14:paraId="0F6BC270" w14:textId="77777777" w:rsidR="000B71AE" w:rsidRPr="00C03273" w:rsidRDefault="000B71AE" w:rsidP="000B71AE">
            <w:pPr>
              <w:rPr>
                <w:sz w:val="22"/>
                <w:szCs w:val="22"/>
              </w:rPr>
            </w:pPr>
            <w:r w:rsidRPr="00C03273">
              <w:rPr>
                <w:sz w:val="22"/>
                <w:szCs w:val="22"/>
              </w:rPr>
              <w:lastRenderedPageBreak/>
              <w:t xml:space="preserve">We are </w:t>
            </w:r>
            <w:r w:rsidRPr="00A71C64">
              <w:rPr>
                <w:b/>
                <w:sz w:val="22"/>
                <w:szCs w:val="22"/>
              </w:rPr>
              <w:t xml:space="preserve">OPEN </w:t>
            </w:r>
            <w:r w:rsidRPr="00C03273">
              <w:rPr>
                <w:sz w:val="22"/>
                <w:szCs w:val="22"/>
              </w:rPr>
              <w:t>and transparent</w:t>
            </w:r>
          </w:p>
          <w:p w14:paraId="340EF57D" w14:textId="77777777" w:rsidR="000B71AE" w:rsidRPr="00B85397" w:rsidRDefault="000B71AE" w:rsidP="000B71AE"/>
        </w:tc>
        <w:tc>
          <w:tcPr>
            <w:tcW w:w="3260" w:type="dxa"/>
          </w:tcPr>
          <w:p w14:paraId="3CEC9C18" w14:textId="5F75262E" w:rsidR="000B71AE" w:rsidRPr="00B85397" w:rsidRDefault="00346A89" w:rsidP="000B71AE">
            <w:r>
              <w:t>A</w:t>
            </w:r>
            <w:r w:rsidRPr="006D67FF">
              <w:t>pproachable and seeks regular internal and external feedback from people to improve how they and others do things</w:t>
            </w:r>
            <w:r>
              <w:t>.</w:t>
            </w:r>
          </w:p>
        </w:tc>
        <w:tc>
          <w:tcPr>
            <w:tcW w:w="1985" w:type="dxa"/>
          </w:tcPr>
          <w:p w14:paraId="5C2D1CD5" w14:textId="7C8F4C50" w:rsidR="000B71AE" w:rsidRPr="00B85397" w:rsidRDefault="000B71AE" w:rsidP="001779BA">
            <w:pPr>
              <w:jc w:val="center"/>
              <w:rPr>
                <w:b/>
                <w:u w:val="single"/>
              </w:rPr>
            </w:pPr>
            <w:r w:rsidRPr="000B71AE">
              <w:rPr>
                <w:bCs/>
              </w:rPr>
              <w:t>E</w:t>
            </w:r>
          </w:p>
        </w:tc>
        <w:tc>
          <w:tcPr>
            <w:tcW w:w="1933" w:type="dxa"/>
          </w:tcPr>
          <w:p w14:paraId="49B80898" w14:textId="2ABF6ACA" w:rsidR="000B71AE" w:rsidRPr="00B85397" w:rsidRDefault="000B71AE" w:rsidP="001779BA">
            <w:pPr>
              <w:jc w:val="center"/>
              <w:rPr>
                <w:b/>
                <w:u w:val="single"/>
              </w:rPr>
            </w:pPr>
            <w:r w:rsidRPr="000B71AE">
              <w:rPr>
                <w:bCs/>
              </w:rPr>
              <w:t>A</w:t>
            </w:r>
            <w:r w:rsidR="00286062">
              <w:rPr>
                <w:bCs/>
              </w:rPr>
              <w:t xml:space="preserve"> </w:t>
            </w:r>
            <w:r w:rsidRPr="000B71AE">
              <w:rPr>
                <w:bCs/>
              </w:rPr>
              <w:t>/</w:t>
            </w:r>
            <w:r w:rsidR="00286062">
              <w:rPr>
                <w:bCs/>
              </w:rPr>
              <w:t xml:space="preserve"> </w:t>
            </w:r>
            <w:r w:rsidRPr="000B71AE">
              <w:rPr>
                <w:bCs/>
              </w:rPr>
              <w:t>I</w:t>
            </w:r>
          </w:p>
        </w:tc>
      </w:tr>
      <w:tr w:rsidR="000B71AE" w:rsidRPr="00B85397" w14:paraId="26D868E6" w14:textId="77777777" w:rsidTr="52C70040">
        <w:trPr>
          <w:trHeight w:val="783"/>
        </w:trPr>
        <w:tc>
          <w:tcPr>
            <w:tcW w:w="1838" w:type="dxa"/>
          </w:tcPr>
          <w:p w14:paraId="7AF057BA" w14:textId="77777777" w:rsidR="000B71AE" w:rsidRDefault="000B71AE" w:rsidP="000B71AE">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0B71AE" w:rsidRPr="00B85397" w:rsidRDefault="000B71AE" w:rsidP="000B71AE"/>
        </w:tc>
        <w:tc>
          <w:tcPr>
            <w:tcW w:w="3260" w:type="dxa"/>
          </w:tcPr>
          <w:p w14:paraId="6894408B" w14:textId="1365F787" w:rsidR="000B71AE" w:rsidRPr="00B85397" w:rsidRDefault="00C42EE6" w:rsidP="000B71AE">
            <w:r w:rsidRPr="00AD779F">
              <w:t>Takes accountability for setting clear goals and targets and seeks to achieve high standards, for self and others</w:t>
            </w:r>
          </w:p>
        </w:tc>
        <w:tc>
          <w:tcPr>
            <w:tcW w:w="1985" w:type="dxa"/>
          </w:tcPr>
          <w:p w14:paraId="1A7CF0BC" w14:textId="72E7A800" w:rsidR="000B71AE" w:rsidRPr="00B85397" w:rsidRDefault="000B71AE" w:rsidP="001779BA">
            <w:pPr>
              <w:jc w:val="center"/>
              <w:rPr>
                <w:b/>
                <w:u w:val="single"/>
              </w:rPr>
            </w:pPr>
            <w:r w:rsidRPr="000B71AE">
              <w:rPr>
                <w:bCs/>
              </w:rPr>
              <w:t>E</w:t>
            </w:r>
          </w:p>
        </w:tc>
        <w:tc>
          <w:tcPr>
            <w:tcW w:w="1933" w:type="dxa"/>
          </w:tcPr>
          <w:p w14:paraId="462C26C7" w14:textId="5492FFA9" w:rsidR="000B71AE" w:rsidRPr="00B85397" w:rsidRDefault="000B71AE" w:rsidP="001779BA">
            <w:pPr>
              <w:jc w:val="center"/>
              <w:rPr>
                <w:b/>
                <w:u w:val="single"/>
              </w:rPr>
            </w:pPr>
            <w:r w:rsidRPr="000B71AE">
              <w:rPr>
                <w:bCs/>
              </w:rPr>
              <w:t>A</w:t>
            </w:r>
            <w:r w:rsidR="00286062">
              <w:rPr>
                <w:bCs/>
              </w:rPr>
              <w:t xml:space="preserve"> </w:t>
            </w:r>
            <w:r w:rsidRPr="000B71AE">
              <w:rPr>
                <w:bCs/>
              </w:rPr>
              <w:t>/</w:t>
            </w:r>
            <w:r w:rsidR="00286062">
              <w:rPr>
                <w:bCs/>
              </w:rPr>
              <w:t xml:space="preserve"> </w:t>
            </w:r>
            <w:r w:rsidRPr="000B71AE">
              <w:rPr>
                <w:bCs/>
              </w:rPr>
              <w:t>I</w:t>
            </w:r>
          </w:p>
        </w:tc>
      </w:tr>
      <w:tr w:rsidR="000B71AE" w:rsidRPr="00B85397" w14:paraId="5138090A" w14:textId="77777777" w:rsidTr="52C70040">
        <w:trPr>
          <w:trHeight w:val="1003"/>
        </w:trPr>
        <w:tc>
          <w:tcPr>
            <w:tcW w:w="1838" w:type="dxa"/>
          </w:tcPr>
          <w:p w14:paraId="573D19C4" w14:textId="77777777" w:rsidR="000B71AE" w:rsidRDefault="000B71AE" w:rsidP="000B71AE">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0B71AE" w:rsidRPr="00B85397" w:rsidRDefault="000B71AE" w:rsidP="000B71AE"/>
        </w:tc>
        <w:tc>
          <w:tcPr>
            <w:tcW w:w="3260" w:type="dxa"/>
          </w:tcPr>
          <w:p w14:paraId="03481FA2" w14:textId="0F1D32BD" w:rsidR="000B71AE" w:rsidRPr="00B85397" w:rsidRDefault="00FC223E" w:rsidP="000B71AE">
            <w:pPr>
              <w:tabs>
                <w:tab w:val="num" w:pos="1080"/>
              </w:tabs>
            </w:pPr>
            <w:r>
              <w:t>D</w:t>
            </w:r>
            <w:r w:rsidRPr="00732CA7">
              <w:t>efines clear objectives, expectations and roles to motivate their team to the vision, as well as inspiring their team to achieve their best.</w:t>
            </w:r>
          </w:p>
        </w:tc>
        <w:tc>
          <w:tcPr>
            <w:tcW w:w="1985" w:type="dxa"/>
          </w:tcPr>
          <w:p w14:paraId="00F23397" w14:textId="7342AA03" w:rsidR="000B71AE" w:rsidRPr="00B85397" w:rsidRDefault="000B71AE" w:rsidP="001779BA">
            <w:pPr>
              <w:jc w:val="center"/>
              <w:rPr>
                <w:b/>
                <w:u w:val="single"/>
              </w:rPr>
            </w:pPr>
            <w:r w:rsidRPr="000B71AE">
              <w:rPr>
                <w:bCs/>
              </w:rPr>
              <w:t>E</w:t>
            </w:r>
          </w:p>
        </w:tc>
        <w:tc>
          <w:tcPr>
            <w:tcW w:w="1933" w:type="dxa"/>
          </w:tcPr>
          <w:p w14:paraId="66B1E200" w14:textId="6F87B677" w:rsidR="000B71AE" w:rsidRPr="00B85397" w:rsidRDefault="000B71AE" w:rsidP="001779BA">
            <w:pPr>
              <w:jc w:val="center"/>
              <w:rPr>
                <w:b/>
                <w:u w:val="single"/>
              </w:rPr>
            </w:pPr>
            <w:r w:rsidRPr="000B71AE">
              <w:rPr>
                <w:bCs/>
              </w:rPr>
              <w:t>A</w:t>
            </w:r>
            <w:r w:rsidR="00286062">
              <w:rPr>
                <w:bCs/>
              </w:rPr>
              <w:t xml:space="preserve"> </w:t>
            </w:r>
            <w:r w:rsidRPr="000B71AE">
              <w:rPr>
                <w:bCs/>
              </w:rPr>
              <w:t>/</w:t>
            </w:r>
            <w:r w:rsidR="00286062">
              <w:rPr>
                <w:bCs/>
              </w:rPr>
              <w:t xml:space="preserve"> </w:t>
            </w:r>
            <w:r w:rsidRPr="000B71AE">
              <w:rPr>
                <w:bCs/>
              </w:rPr>
              <w:t>I</w:t>
            </w:r>
          </w:p>
        </w:tc>
      </w:tr>
      <w:tr w:rsidR="000B71AE" w:rsidRPr="00B85397" w14:paraId="3BF5CEFE" w14:textId="77777777" w:rsidTr="52C70040">
        <w:trPr>
          <w:trHeight w:val="1003"/>
        </w:trPr>
        <w:tc>
          <w:tcPr>
            <w:tcW w:w="1838" w:type="dxa"/>
          </w:tcPr>
          <w:p w14:paraId="6DBF92B5" w14:textId="7465071D" w:rsidR="000B71AE" w:rsidRPr="00C03273" w:rsidRDefault="000B71AE" w:rsidP="000B71AE">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0B71AE" w:rsidRPr="00B85397" w:rsidRDefault="000B71AE" w:rsidP="000B71AE"/>
        </w:tc>
        <w:tc>
          <w:tcPr>
            <w:tcW w:w="3260" w:type="dxa"/>
          </w:tcPr>
          <w:p w14:paraId="715F5E1E" w14:textId="34E0D6DB" w:rsidR="000B71AE" w:rsidRPr="00B85397" w:rsidRDefault="000E3C00" w:rsidP="000B71AE">
            <w:pPr>
              <w:tabs>
                <w:tab w:val="num" w:pos="1080"/>
              </w:tabs>
            </w:pPr>
            <w:r>
              <w:t>Initiates and makes changes to improve things where it will improve the customer experience and access.</w:t>
            </w:r>
          </w:p>
        </w:tc>
        <w:tc>
          <w:tcPr>
            <w:tcW w:w="1985" w:type="dxa"/>
          </w:tcPr>
          <w:p w14:paraId="72AA8BFF" w14:textId="50C3C923" w:rsidR="000B71AE" w:rsidRPr="00B85397" w:rsidRDefault="000B71AE" w:rsidP="001779BA">
            <w:pPr>
              <w:jc w:val="center"/>
              <w:rPr>
                <w:b/>
                <w:u w:val="single"/>
              </w:rPr>
            </w:pPr>
            <w:r w:rsidRPr="000B71AE">
              <w:rPr>
                <w:bCs/>
              </w:rPr>
              <w:t>E</w:t>
            </w:r>
          </w:p>
        </w:tc>
        <w:tc>
          <w:tcPr>
            <w:tcW w:w="1933" w:type="dxa"/>
          </w:tcPr>
          <w:p w14:paraId="13C9B372" w14:textId="144E0CEC" w:rsidR="000B71AE" w:rsidRPr="00B85397" w:rsidRDefault="000B71AE" w:rsidP="001779BA">
            <w:pPr>
              <w:jc w:val="center"/>
              <w:rPr>
                <w:b/>
                <w:u w:val="single"/>
              </w:rPr>
            </w:pPr>
            <w:r w:rsidRPr="000B71AE">
              <w:rPr>
                <w:bCs/>
              </w:rPr>
              <w:t>A</w:t>
            </w:r>
            <w:r w:rsidR="00286062">
              <w:rPr>
                <w:bCs/>
              </w:rPr>
              <w:t xml:space="preserve"> </w:t>
            </w:r>
            <w:r w:rsidRPr="000B71AE">
              <w:rPr>
                <w:bCs/>
              </w:rPr>
              <w:t>/</w:t>
            </w:r>
            <w:r w:rsidR="00286062">
              <w:rPr>
                <w:bCs/>
              </w:rPr>
              <w:t xml:space="preserve"> </w:t>
            </w:r>
            <w:r w:rsidRPr="000B71AE">
              <w:rPr>
                <w:bCs/>
              </w:rPr>
              <w:t>I</w:t>
            </w:r>
          </w:p>
        </w:tc>
      </w:tr>
      <w:tr w:rsidR="00286062" w:rsidRPr="00B85397" w14:paraId="0C7BA159" w14:textId="77777777" w:rsidTr="52C70040">
        <w:trPr>
          <w:trHeight w:val="1003"/>
        </w:trPr>
        <w:tc>
          <w:tcPr>
            <w:tcW w:w="1838" w:type="dxa"/>
          </w:tcPr>
          <w:p w14:paraId="6012B10D" w14:textId="77777777" w:rsidR="00286062" w:rsidRPr="003516AD" w:rsidRDefault="00286062" w:rsidP="00286062">
            <w:pPr>
              <w:rPr>
                <w:b/>
              </w:rPr>
            </w:pPr>
            <w:r>
              <w:rPr>
                <w:b/>
              </w:rPr>
              <w:t>Additional Requirements</w:t>
            </w:r>
          </w:p>
        </w:tc>
        <w:tc>
          <w:tcPr>
            <w:tcW w:w="3260" w:type="dxa"/>
          </w:tcPr>
          <w:p w14:paraId="0117DF66" w14:textId="77777777" w:rsidR="00286062" w:rsidRPr="0006108E" w:rsidRDefault="00286062" w:rsidP="00286062">
            <w:pPr>
              <w:rPr>
                <w:b/>
              </w:rPr>
            </w:pPr>
            <w:r>
              <w:t>To meet exceptional business needs a willingness to work outside of contractual hours in the evenings and weekends with notice, unless there is good reason where this is not possible.</w:t>
            </w:r>
          </w:p>
          <w:p w14:paraId="0BE1ED8D" w14:textId="77777777" w:rsidR="00286062" w:rsidRPr="00766FDD" w:rsidRDefault="00286062" w:rsidP="00286062"/>
          <w:p w14:paraId="7562F51D" w14:textId="77777777" w:rsidR="00286062" w:rsidRPr="00766FDD" w:rsidRDefault="00286062" w:rsidP="00286062">
            <w:r w:rsidRPr="0051437F">
              <w:t>To comply with the requirement to carry out a DBS check on this role.</w:t>
            </w:r>
            <w:r>
              <w:t xml:space="preserve"> </w:t>
            </w:r>
          </w:p>
          <w:p w14:paraId="70625C65" w14:textId="77777777" w:rsidR="00286062" w:rsidRPr="00766FDD" w:rsidRDefault="00286062" w:rsidP="00286062"/>
          <w:p w14:paraId="1F188A45" w14:textId="5540C444" w:rsidR="00286062" w:rsidRDefault="00286062" w:rsidP="00286062">
            <w:pPr>
              <w:rPr>
                <w:u w:val="single"/>
              </w:rPr>
            </w:pPr>
            <w:r w:rsidRPr="00766FDD">
              <w:t>To comply with the requirements relating to political restrictions for this role</w:t>
            </w:r>
            <w:r>
              <w:t>.</w:t>
            </w:r>
          </w:p>
          <w:p w14:paraId="47582873" w14:textId="77777777" w:rsidR="00286062" w:rsidRPr="003516AD" w:rsidRDefault="00286062" w:rsidP="00286062">
            <w:pPr>
              <w:rPr>
                <w:u w:val="single"/>
              </w:rPr>
            </w:pPr>
          </w:p>
        </w:tc>
        <w:tc>
          <w:tcPr>
            <w:tcW w:w="1985" w:type="dxa"/>
          </w:tcPr>
          <w:p w14:paraId="61BBC043" w14:textId="679CA4BF" w:rsidR="00286062" w:rsidRPr="00FD2D9E" w:rsidRDefault="00286062" w:rsidP="52C70040">
            <w:pPr>
              <w:jc w:val="center"/>
            </w:pPr>
            <w:r>
              <w:t>E</w:t>
            </w:r>
          </w:p>
          <w:p w14:paraId="7ACBAF57" w14:textId="77777777" w:rsidR="00286062" w:rsidRPr="00FD2D9E" w:rsidRDefault="00286062" w:rsidP="001779BA">
            <w:pPr>
              <w:jc w:val="center"/>
              <w:rPr>
                <w:bCs/>
              </w:rPr>
            </w:pPr>
          </w:p>
          <w:p w14:paraId="7312971C" w14:textId="77777777" w:rsidR="00286062" w:rsidRPr="00FD2D9E" w:rsidRDefault="00286062" w:rsidP="001779BA">
            <w:pPr>
              <w:jc w:val="center"/>
              <w:rPr>
                <w:bCs/>
              </w:rPr>
            </w:pPr>
          </w:p>
          <w:p w14:paraId="2B3C0CC7" w14:textId="77777777" w:rsidR="00286062" w:rsidRPr="00FD2D9E" w:rsidRDefault="00286062" w:rsidP="001779BA">
            <w:pPr>
              <w:jc w:val="center"/>
              <w:rPr>
                <w:bCs/>
              </w:rPr>
            </w:pPr>
          </w:p>
          <w:p w14:paraId="39C2EEA8" w14:textId="77777777" w:rsidR="00286062" w:rsidRPr="00FD2D9E" w:rsidRDefault="00286062" w:rsidP="001779BA">
            <w:pPr>
              <w:jc w:val="center"/>
              <w:rPr>
                <w:bCs/>
              </w:rPr>
            </w:pPr>
          </w:p>
          <w:p w14:paraId="122E984B" w14:textId="77777777" w:rsidR="00286062" w:rsidRPr="00FD2D9E" w:rsidRDefault="00286062" w:rsidP="001779BA">
            <w:pPr>
              <w:jc w:val="center"/>
              <w:rPr>
                <w:bCs/>
              </w:rPr>
            </w:pPr>
          </w:p>
          <w:p w14:paraId="60C19F74" w14:textId="77777777" w:rsidR="0056135D" w:rsidRDefault="0056135D" w:rsidP="001779BA">
            <w:pPr>
              <w:jc w:val="center"/>
              <w:rPr>
                <w:bCs/>
              </w:rPr>
            </w:pPr>
          </w:p>
          <w:p w14:paraId="0A8D2164" w14:textId="77777777" w:rsidR="00604888" w:rsidRDefault="00604888" w:rsidP="001779BA">
            <w:pPr>
              <w:jc w:val="center"/>
              <w:rPr>
                <w:bCs/>
              </w:rPr>
            </w:pPr>
          </w:p>
          <w:p w14:paraId="2A997E6A" w14:textId="77777777" w:rsidR="00604888" w:rsidRDefault="00604888" w:rsidP="001779BA">
            <w:pPr>
              <w:jc w:val="center"/>
              <w:rPr>
                <w:bCs/>
              </w:rPr>
            </w:pPr>
          </w:p>
          <w:p w14:paraId="1437EBA4" w14:textId="6346B4F8" w:rsidR="00286062" w:rsidRPr="00FD2D9E" w:rsidRDefault="00286062" w:rsidP="001779BA">
            <w:pPr>
              <w:jc w:val="center"/>
              <w:rPr>
                <w:bCs/>
              </w:rPr>
            </w:pPr>
            <w:r w:rsidRPr="00FD2D9E">
              <w:rPr>
                <w:bCs/>
              </w:rPr>
              <w:t>E</w:t>
            </w:r>
          </w:p>
          <w:p w14:paraId="4057B0B2" w14:textId="77777777" w:rsidR="00286062" w:rsidRPr="00FD2D9E" w:rsidRDefault="00286062" w:rsidP="001779BA">
            <w:pPr>
              <w:jc w:val="center"/>
              <w:rPr>
                <w:bCs/>
              </w:rPr>
            </w:pPr>
          </w:p>
          <w:p w14:paraId="7F226664" w14:textId="77777777" w:rsidR="00286062" w:rsidRPr="00FD2D9E" w:rsidRDefault="00286062" w:rsidP="001779BA">
            <w:pPr>
              <w:jc w:val="center"/>
              <w:rPr>
                <w:bCs/>
              </w:rPr>
            </w:pPr>
          </w:p>
          <w:p w14:paraId="65BF0057" w14:textId="77777777" w:rsidR="00286062" w:rsidRPr="00FD2D9E" w:rsidRDefault="00286062" w:rsidP="001779BA">
            <w:pPr>
              <w:jc w:val="center"/>
              <w:rPr>
                <w:bCs/>
              </w:rPr>
            </w:pPr>
          </w:p>
          <w:p w14:paraId="6B7CE6BD" w14:textId="679F88B5" w:rsidR="00286062" w:rsidRPr="00FD2D9E" w:rsidRDefault="00286062" w:rsidP="001779BA">
            <w:pPr>
              <w:jc w:val="center"/>
              <w:rPr>
                <w:bCs/>
              </w:rPr>
            </w:pPr>
            <w:r>
              <w:rPr>
                <w:bCs/>
              </w:rPr>
              <w:t>E</w:t>
            </w:r>
          </w:p>
          <w:p w14:paraId="31ACD866" w14:textId="77777777" w:rsidR="00286062" w:rsidRPr="00FD2D9E" w:rsidRDefault="00286062" w:rsidP="001779BA">
            <w:pPr>
              <w:jc w:val="center"/>
              <w:rPr>
                <w:bCs/>
              </w:rPr>
            </w:pPr>
          </w:p>
          <w:p w14:paraId="1C14930E" w14:textId="77777777" w:rsidR="00286062" w:rsidRPr="00B85397" w:rsidRDefault="00286062" w:rsidP="001779BA">
            <w:pPr>
              <w:jc w:val="center"/>
              <w:rPr>
                <w:b/>
                <w:u w:val="single"/>
              </w:rPr>
            </w:pPr>
          </w:p>
        </w:tc>
        <w:tc>
          <w:tcPr>
            <w:tcW w:w="1933" w:type="dxa"/>
          </w:tcPr>
          <w:p w14:paraId="5C5A3A4E" w14:textId="32F8A48F" w:rsidR="00286062" w:rsidRPr="00286062" w:rsidRDefault="00286062" w:rsidP="001779BA">
            <w:pPr>
              <w:jc w:val="center"/>
            </w:pPr>
          </w:p>
        </w:tc>
      </w:tr>
    </w:tbl>
    <w:p w14:paraId="1B683A3A" w14:textId="0C86B064" w:rsidR="00DF3C2C" w:rsidRDefault="00DF3C2C" w:rsidP="00DF3C2C">
      <w:pPr>
        <w:spacing w:line="259" w:lineRule="auto"/>
      </w:pPr>
    </w:p>
    <w:sectPr w:rsidR="00DF3C2C" w:rsidSect="00234BEF">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ADA9" w14:textId="77777777" w:rsidR="003750FD" w:rsidRDefault="003750FD" w:rsidP="00101F8B">
      <w:r>
        <w:separator/>
      </w:r>
    </w:p>
    <w:p w14:paraId="3E6020C2" w14:textId="77777777" w:rsidR="003750FD" w:rsidRDefault="003750FD" w:rsidP="00101F8B"/>
    <w:p w14:paraId="08D58FB1" w14:textId="77777777" w:rsidR="003750FD" w:rsidRDefault="003750FD" w:rsidP="00101F8B"/>
    <w:p w14:paraId="03F62B48" w14:textId="77777777" w:rsidR="003750FD" w:rsidRDefault="003750FD" w:rsidP="00101F8B"/>
    <w:p w14:paraId="15E7228E" w14:textId="77777777" w:rsidR="003750FD" w:rsidRDefault="003750FD" w:rsidP="00101F8B"/>
    <w:p w14:paraId="5F255A4E" w14:textId="77777777" w:rsidR="003750FD" w:rsidRDefault="003750FD" w:rsidP="00101F8B"/>
  </w:endnote>
  <w:endnote w:type="continuationSeparator" w:id="0">
    <w:p w14:paraId="08221AC9" w14:textId="77777777" w:rsidR="003750FD" w:rsidRDefault="003750FD" w:rsidP="00101F8B">
      <w:r>
        <w:continuationSeparator/>
      </w:r>
    </w:p>
    <w:p w14:paraId="1F6A531C" w14:textId="77777777" w:rsidR="003750FD" w:rsidRDefault="003750FD" w:rsidP="00101F8B"/>
    <w:p w14:paraId="4D031497" w14:textId="77777777" w:rsidR="003750FD" w:rsidRDefault="003750FD" w:rsidP="00101F8B"/>
    <w:p w14:paraId="0A39C046" w14:textId="77777777" w:rsidR="003750FD" w:rsidRDefault="003750FD" w:rsidP="00101F8B"/>
    <w:p w14:paraId="6491E19E" w14:textId="77777777" w:rsidR="003750FD" w:rsidRDefault="003750FD" w:rsidP="00101F8B"/>
    <w:p w14:paraId="4B896056" w14:textId="77777777" w:rsidR="003750FD" w:rsidRDefault="003750FD" w:rsidP="00101F8B"/>
  </w:endnote>
  <w:endnote w:type="continuationNotice" w:id="1">
    <w:p w14:paraId="1FA446C5" w14:textId="77777777" w:rsidR="003750FD" w:rsidRDefault="003750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09EA" w14:textId="77777777" w:rsidR="00234BEF" w:rsidRDefault="00234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519867B7" w14:textId="137F4738" w:rsidR="00234BEF" w:rsidRDefault="00234BEF">
        <w:pPr>
          <w:pStyle w:val="Footer"/>
          <w:jc w:val="center"/>
          <w:rPr>
            <w:noProof/>
          </w:rPr>
        </w:pPr>
      </w:p>
      <w:p w14:paraId="270729F3" w14:textId="3014E344"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5752" w14:textId="14DBD8EF" w:rsidR="00234BEF" w:rsidRDefault="00234BEF">
    <w:pPr>
      <w:pStyle w:val="Footer"/>
    </w:pPr>
    <w:r>
      <w:rPr>
        <w:noProof/>
      </w:rPr>
      <w:drawing>
        <wp:anchor distT="0" distB="0" distL="114300" distR="114300" simplePos="0" relativeHeight="251658241" behindDoc="0" locked="0" layoutInCell="1" allowOverlap="1" wp14:anchorId="6CBBD47A" wp14:editId="3756C429">
          <wp:simplePos x="0" y="0"/>
          <wp:positionH relativeFrom="page">
            <wp:align>right</wp:align>
          </wp:positionH>
          <wp:positionV relativeFrom="paragraph">
            <wp:posOffset>-575303</wp:posOffset>
          </wp:positionV>
          <wp:extent cx="7549561" cy="1181100"/>
          <wp:effectExtent l="0" t="0" r="0" b="0"/>
          <wp:wrapNone/>
          <wp:docPr id="1493375757" name="Picture 1" descr="A blue and green square with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98121" name="Picture 1" descr="A blue and green square with buildings in th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697" r="-253" b="14385"/>
                  <a:stretch>
                    <a:fillRect/>
                  </a:stretch>
                </pic:blipFill>
                <pic:spPr bwMode="auto">
                  <a:xfrm>
                    <a:off x="0" y="0"/>
                    <a:ext cx="7549561"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4F1F" w14:textId="77777777" w:rsidR="003750FD" w:rsidRDefault="003750FD" w:rsidP="00101F8B">
      <w:r>
        <w:separator/>
      </w:r>
    </w:p>
    <w:p w14:paraId="4E1937CB" w14:textId="77777777" w:rsidR="003750FD" w:rsidRDefault="003750FD" w:rsidP="00101F8B"/>
    <w:p w14:paraId="387E574A" w14:textId="77777777" w:rsidR="003750FD" w:rsidRDefault="003750FD" w:rsidP="00101F8B"/>
    <w:p w14:paraId="61E784FA" w14:textId="77777777" w:rsidR="003750FD" w:rsidRDefault="003750FD" w:rsidP="00101F8B"/>
    <w:p w14:paraId="09E55586" w14:textId="77777777" w:rsidR="003750FD" w:rsidRDefault="003750FD" w:rsidP="00101F8B"/>
    <w:p w14:paraId="3E0E9BF8" w14:textId="77777777" w:rsidR="003750FD" w:rsidRDefault="003750FD" w:rsidP="00101F8B"/>
  </w:footnote>
  <w:footnote w:type="continuationSeparator" w:id="0">
    <w:p w14:paraId="0EA91887" w14:textId="77777777" w:rsidR="003750FD" w:rsidRDefault="003750FD" w:rsidP="00101F8B">
      <w:r>
        <w:continuationSeparator/>
      </w:r>
    </w:p>
    <w:p w14:paraId="081EA5B3" w14:textId="77777777" w:rsidR="003750FD" w:rsidRDefault="003750FD" w:rsidP="00101F8B"/>
    <w:p w14:paraId="1AC76F6A" w14:textId="77777777" w:rsidR="003750FD" w:rsidRDefault="003750FD" w:rsidP="00101F8B"/>
    <w:p w14:paraId="7009EF80" w14:textId="77777777" w:rsidR="003750FD" w:rsidRDefault="003750FD" w:rsidP="00101F8B"/>
    <w:p w14:paraId="4835F1F8" w14:textId="77777777" w:rsidR="003750FD" w:rsidRDefault="003750FD" w:rsidP="00101F8B"/>
    <w:p w14:paraId="5890834B" w14:textId="77777777" w:rsidR="003750FD" w:rsidRDefault="003750FD" w:rsidP="00101F8B"/>
  </w:footnote>
  <w:footnote w:type="continuationNotice" w:id="1">
    <w:p w14:paraId="0198836E" w14:textId="77777777" w:rsidR="003750FD" w:rsidRDefault="003750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D707" w14:textId="77777777" w:rsidR="00234BEF" w:rsidRDefault="00234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B232" w14:textId="06EECB06" w:rsidR="00F86B7C" w:rsidRDefault="00F86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BC71" w14:textId="11EF67A5" w:rsidR="00234BEF" w:rsidRDefault="00234BEF">
    <w:pPr>
      <w:pStyle w:val="Header"/>
    </w:pPr>
    <w:r>
      <w:rPr>
        <w:noProof/>
      </w:rPr>
      <w:drawing>
        <wp:anchor distT="0" distB="0" distL="114300" distR="114300" simplePos="0" relativeHeight="251658240" behindDoc="1" locked="0" layoutInCell="1" allowOverlap="1" wp14:anchorId="1D2BD77C" wp14:editId="2867DCD7">
          <wp:simplePos x="0" y="0"/>
          <wp:positionH relativeFrom="page">
            <wp:align>right</wp:align>
          </wp:positionH>
          <wp:positionV relativeFrom="paragraph">
            <wp:posOffset>-448310</wp:posOffset>
          </wp:positionV>
          <wp:extent cx="7551420" cy="1521071"/>
          <wp:effectExtent l="0" t="0" r="0" b="3175"/>
          <wp:wrapNone/>
          <wp:docPr id="2063728711" name="Picture 2063728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08E"/>
    <w:multiLevelType w:val="hybridMultilevel"/>
    <w:tmpl w:val="E2CA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41931"/>
    <w:multiLevelType w:val="multilevel"/>
    <w:tmpl w:val="5666F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1047F"/>
    <w:multiLevelType w:val="multilevel"/>
    <w:tmpl w:val="7D3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71C63"/>
    <w:multiLevelType w:val="hybridMultilevel"/>
    <w:tmpl w:val="EC0E6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8371F"/>
    <w:multiLevelType w:val="multilevel"/>
    <w:tmpl w:val="D2187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F6ACD"/>
    <w:multiLevelType w:val="multilevel"/>
    <w:tmpl w:val="16A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D2ED4"/>
    <w:multiLevelType w:val="multilevel"/>
    <w:tmpl w:val="7D74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9C1409"/>
    <w:multiLevelType w:val="multilevel"/>
    <w:tmpl w:val="BE86B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558C3"/>
    <w:multiLevelType w:val="multilevel"/>
    <w:tmpl w:val="FA729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87B0ACD"/>
    <w:multiLevelType w:val="hybridMultilevel"/>
    <w:tmpl w:val="F222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00E2B"/>
    <w:multiLevelType w:val="hybridMultilevel"/>
    <w:tmpl w:val="6E6E155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6"/>
  </w:num>
  <w:num w:numId="2" w16cid:durableId="1511870890">
    <w:abstractNumId w:val="3"/>
  </w:num>
  <w:num w:numId="3" w16cid:durableId="784276660">
    <w:abstractNumId w:val="13"/>
  </w:num>
  <w:num w:numId="4" w16cid:durableId="703990192">
    <w:abstractNumId w:val="20"/>
  </w:num>
  <w:num w:numId="5" w16cid:durableId="1013187382">
    <w:abstractNumId w:val="26"/>
  </w:num>
  <w:num w:numId="6" w16cid:durableId="1345206344">
    <w:abstractNumId w:val="21"/>
  </w:num>
  <w:num w:numId="7" w16cid:durableId="1506939807">
    <w:abstractNumId w:val="35"/>
  </w:num>
  <w:num w:numId="8" w16cid:durableId="301158269">
    <w:abstractNumId w:val="17"/>
  </w:num>
  <w:num w:numId="9" w16cid:durableId="1058552037">
    <w:abstractNumId w:val="14"/>
  </w:num>
  <w:num w:numId="10" w16cid:durableId="731080326">
    <w:abstractNumId w:val="32"/>
  </w:num>
  <w:num w:numId="11" w16cid:durableId="303857379">
    <w:abstractNumId w:val="2"/>
  </w:num>
  <w:num w:numId="12" w16cid:durableId="960646667">
    <w:abstractNumId w:val="10"/>
  </w:num>
  <w:num w:numId="13" w16cid:durableId="1467771258">
    <w:abstractNumId w:val="11"/>
  </w:num>
  <w:num w:numId="14" w16cid:durableId="180749088">
    <w:abstractNumId w:val="7"/>
  </w:num>
  <w:num w:numId="15" w16cid:durableId="1245645558">
    <w:abstractNumId w:val="29"/>
  </w:num>
  <w:num w:numId="16" w16cid:durableId="2141877320">
    <w:abstractNumId w:val="16"/>
  </w:num>
  <w:num w:numId="17" w16cid:durableId="761419156">
    <w:abstractNumId w:val="19"/>
  </w:num>
  <w:num w:numId="18" w16cid:durableId="1375543501">
    <w:abstractNumId w:val="5"/>
  </w:num>
  <w:num w:numId="19" w16cid:durableId="720327906">
    <w:abstractNumId w:val="12"/>
  </w:num>
  <w:num w:numId="20" w16cid:durableId="1858732376">
    <w:abstractNumId w:val="23"/>
  </w:num>
  <w:num w:numId="21" w16cid:durableId="1511262304">
    <w:abstractNumId w:val="1"/>
  </w:num>
  <w:num w:numId="22" w16cid:durableId="1570577444">
    <w:abstractNumId w:val="18"/>
  </w:num>
  <w:num w:numId="23" w16cid:durableId="1771385838">
    <w:abstractNumId w:val="28"/>
  </w:num>
  <w:num w:numId="24" w16cid:durableId="174153306">
    <w:abstractNumId w:val="31"/>
  </w:num>
  <w:num w:numId="25" w16cid:durableId="586304629">
    <w:abstractNumId w:val="33"/>
  </w:num>
  <w:num w:numId="26" w16cid:durableId="1021980348">
    <w:abstractNumId w:val="8"/>
  </w:num>
  <w:num w:numId="27" w16cid:durableId="482310219">
    <w:abstractNumId w:val="22"/>
  </w:num>
  <w:num w:numId="28" w16cid:durableId="1873498079">
    <w:abstractNumId w:val="9"/>
  </w:num>
  <w:num w:numId="29" w16cid:durableId="882206549">
    <w:abstractNumId w:val="0"/>
  </w:num>
  <w:num w:numId="30" w16cid:durableId="1930851524">
    <w:abstractNumId w:val="24"/>
  </w:num>
  <w:num w:numId="31" w16cid:durableId="1550141513">
    <w:abstractNumId w:val="25"/>
  </w:num>
  <w:num w:numId="32" w16cid:durableId="1989244960">
    <w:abstractNumId w:val="27"/>
  </w:num>
  <w:num w:numId="33" w16cid:durableId="1368291329">
    <w:abstractNumId w:val="15"/>
  </w:num>
  <w:num w:numId="34" w16cid:durableId="240455351">
    <w:abstractNumId w:val="4"/>
  </w:num>
  <w:num w:numId="35" w16cid:durableId="1440904702">
    <w:abstractNumId w:val="30"/>
  </w:num>
  <w:num w:numId="36" w16cid:durableId="1595554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5778"/>
    <w:rsid w:val="00007A92"/>
    <w:rsid w:val="000203CD"/>
    <w:rsid w:val="00022B70"/>
    <w:rsid w:val="00025EE8"/>
    <w:rsid w:val="00026780"/>
    <w:rsid w:val="000275C2"/>
    <w:rsid w:val="000375E0"/>
    <w:rsid w:val="00045CA1"/>
    <w:rsid w:val="00046A2A"/>
    <w:rsid w:val="00051CFB"/>
    <w:rsid w:val="000570B4"/>
    <w:rsid w:val="000663F2"/>
    <w:rsid w:val="00067325"/>
    <w:rsid w:val="00070438"/>
    <w:rsid w:val="00080CA2"/>
    <w:rsid w:val="00081787"/>
    <w:rsid w:val="00084F24"/>
    <w:rsid w:val="0009219E"/>
    <w:rsid w:val="00093E39"/>
    <w:rsid w:val="000943CA"/>
    <w:rsid w:val="000A3241"/>
    <w:rsid w:val="000A6597"/>
    <w:rsid w:val="000A7649"/>
    <w:rsid w:val="000B6030"/>
    <w:rsid w:val="000B71AE"/>
    <w:rsid w:val="000B78FE"/>
    <w:rsid w:val="000C41F9"/>
    <w:rsid w:val="000C4BD3"/>
    <w:rsid w:val="000D00ED"/>
    <w:rsid w:val="000D2B8C"/>
    <w:rsid w:val="000D2DC9"/>
    <w:rsid w:val="000E37BA"/>
    <w:rsid w:val="000E3C00"/>
    <w:rsid w:val="000F69B5"/>
    <w:rsid w:val="001011AE"/>
    <w:rsid w:val="00101F8B"/>
    <w:rsid w:val="001065F2"/>
    <w:rsid w:val="0010670B"/>
    <w:rsid w:val="00107C83"/>
    <w:rsid w:val="00114878"/>
    <w:rsid w:val="00121D85"/>
    <w:rsid w:val="00123714"/>
    <w:rsid w:val="0012425F"/>
    <w:rsid w:val="001279AC"/>
    <w:rsid w:val="00130FC5"/>
    <w:rsid w:val="0013570B"/>
    <w:rsid w:val="001357FA"/>
    <w:rsid w:val="00137388"/>
    <w:rsid w:val="00143154"/>
    <w:rsid w:val="0015030E"/>
    <w:rsid w:val="001539D8"/>
    <w:rsid w:val="00157EF6"/>
    <w:rsid w:val="00167DA3"/>
    <w:rsid w:val="001702A6"/>
    <w:rsid w:val="00173D7C"/>
    <w:rsid w:val="00175DAF"/>
    <w:rsid w:val="00176F21"/>
    <w:rsid w:val="001779BA"/>
    <w:rsid w:val="0019324B"/>
    <w:rsid w:val="001A5C02"/>
    <w:rsid w:val="001B0C76"/>
    <w:rsid w:val="001B2C4A"/>
    <w:rsid w:val="001B5AC3"/>
    <w:rsid w:val="001D1AC7"/>
    <w:rsid w:val="001D5881"/>
    <w:rsid w:val="001F28EE"/>
    <w:rsid w:val="001F2D5B"/>
    <w:rsid w:val="001F481A"/>
    <w:rsid w:val="001F57B7"/>
    <w:rsid w:val="002026AC"/>
    <w:rsid w:val="00204695"/>
    <w:rsid w:val="00206DCA"/>
    <w:rsid w:val="0021044F"/>
    <w:rsid w:val="00210D58"/>
    <w:rsid w:val="00224E75"/>
    <w:rsid w:val="00234BEF"/>
    <w:rsid w:val="00251DD1"/>
    <w:rsid w:val="0025409B"/>
    <w:rsid w:val="0026141E"/>
    <w:rsid w:val="00265757"/>
    <w:rsid w:val="002660B4"/>
    <w:rsid w:val="0027226F"/>
    <w:rsid w:val="00274192"/>
    <w:rsid w:val="00277632"/>
    <w:rsid w:val="00283027"/>
    <w:rsid w:val="00284556"/>
    <w:rsid w:val="00284B4D"/>
    <w:rsid w:val="00286062"/>
    <w:rsid w:val="00296E8B"/>
    <w:rsid w:val="00297396"/>
    <w:rsid w:val="002A1E6E"/>
    <w:rsid w:val="002A29B4"/>
    <w:rsid w:val="002B01E9"/>
    <w:rsid w:val="002B278A"/>
    <w:rsid w:val="002B5905"/>
    <w:rsid w:val="002C1FB6"/>
    <w:rsid w:val="002C5DCC"/>
    <w:rsid w:val="002D30D6"/>
    <w:rsid w:val="002D3373"/>
    <w:rsid w:val="002D5070"/>
    <w:rsid w:val="002D5757"/>
    <w:rsid w:val="002E0AB5"/>
    <w:rsid w:val="002E5505"/>
    <w:rsid w:val="002F683E"/>
    <w:rsid w:val="002F76DF"/>
    <w:rsid w:val="0030336A"/>
    <w:rsid w:val="00303F7E"/>
    <w:rsid w:val="00314162"/>
    <w:rsid w:val="00317A3A"/>
    <w:rsid w:val="00320DC1"/>
    <w:rsid w:val="003252D4"/>
    <w:rsid w:val="0032561A"/>
    <w:rsid w:val="0032714C"/>
    <w:rsid w:val="0033725F"/>
    <w:rsid w:val="0034674C"/>
    <w:rsid w:val="00346A89"/>
    <w:rsid w:val="00351855"/>
    <w:rsid w:val="00357305"/>
    <w:rsid w:val="00360231"/>
    <w:rsid w:val="00363A4D"/>
    <w:rsid w:val="00370D51"/>
    <w:rsid w:val="003750FD"/>
    <w:rsid w:val="00376242"/>
    <w:rsid w:val="00377988"/>
    <w:rsid w:val="0038389B"/>
    <w:rsid w:val="00393D23"/>
    <w:rsid w:val="003B7A6D"/>
    <w:rsid w:val="003B7D22"/>
    <w:rsid w:val="003D0676"/>
    <w:rsid w:val="003D2084"/>
    <w:rsid w:val="003D60BF"/>
    <w:rsid w:val="003E09AD"/>
    <w:rsid w:val="003E777B"/>
    <w:rsid w:val="003F2A1E"/>
    <w:rsid w:val="003F2FB0"/>
    <w:rsid w:val="004014E9"/>
    <w:rsid w:val="004023AE"/>
    <w:rsid w:val="0040762E"/>
    <w:rsid w:val="00416677"/>
    <w:rsid w:val="004169DE"/>
    <w:rsid w:val="00417A06"/>
    <w:rsid w:val="004208C7"/>
    <w:rsid w:val="00423760"/>
    <w:rsid w:val="004362E7"/>
    <w:rsid w:val="004369A3"/>
    <w:rsid w:val="00453B68"/>
    <w:rsid w:val="00465D3B"/>
    <w:rsid w:val="00467B75"/>
    <w:rsid w:val="00470CBD"/>
    <w:rsid w:val="00471B76"/>
    <w:rsid w:val="00473346"/>
    <w:rsid w:val="004744C0"/>
    <w:rsid w:val="0048474D"/>
    <w:rsid w:val="00486E27"/>
    <w:rsid w:val="00490972"/>
    <w:rsid w:val="00491E7C"/>
    <w:rsid w:val="004A2241"/>
    <w:rsid w:val="004A5FCC"/>
    <w:rsid w:val="004B1424"/>
    <w:rsid w:val="004B283C"/>
    <w:rsid w:val="004B6D34"/>
    <w:rsid w:val="004C0D74"/>
    <w:rsid w:val="004C2067"/>
    <w:rsid w:val="004C5A44"/>
    <w:rsid w:val="004D0719"/>
    <w:rsid w:val="004D1C12"/>
    <w:rsid w:val="004D1EB4"/>
    <w:rsid w:val="004D442F"/>
    <w:rsid w:val="004E1F25"/>
    <w:rsid w:val="004E5434"/>
    <w:rsid w:val="004F1461"/>
    <w:rsid w:val="00500F06"/>
    <w:rsid w:val="00504E2E"/>
    <w:rsid w:val="005072C8"/>
    <w:rsid w:val="0051437F"/>
    <w:rsid w:val="0051759C"/>
    <w:rsid w:val="005318BA"/>
    <w:rsid w:val="00534043"/>
    <w:rsid w:val="00535D9E"/>
    <w:rsid w:val="005411EF"/>
    <w:rsid w:val="00552807"/>
    <w:rsid w:val="00552FBC"/>
    <w:rsid w:val="00555740"/>
    <w:rsid w:val="00557DB8"/>
    <w:rsid w:val="0056135D"/>
    <w:rsid w:val="00565F8F"/>
    <w:rsid w:val="00573AEA"/>
    <w:rsid w:val="005745B7"/>
    <w:rsid w:val="00580B27"/>
    <w:rsid w:val="00582F72"/>
    <w:rsid w:val="0058769A"/>
    <w:rsid w:val="005A2C02"/>
    <w:rsid w:val="005A481B"/>
    <w:rsid w:val="005B4AE4"/>
    <w:rsid w:val="005C0F4F"/>
    <w:rsid w:val="005C4E21"/>
    <w:rsid w:val="005C50ED"/>
    <w:rsid w:val="005C7C97"/>
    <w:rsid w:val="005D4F38"/>
    <w:rsid w:val="005E57A5"/>
    <w:rsid w:val="005E6059"/>
    <w:rsid w:val="005F24B4"/>
    <w:rsid w:val="005F24FD"/>
    <w:rsid w:val="005F2F33"/>
    <w:rsid w:val="00604888"/>
    <w:rsid w:val="00612E79"/>
    <w:rsid w:val="0061489E"/>
    <w:rsid w:val="006216ED"/>
    <w:rsid w:val="00621D52"/>
    <w:rsid w:val="00624C6F"/>
    <w:rsid w:val="00635564"/>
    <w:rsid w:val="00643F7E"/>
    <w:rsid w:val="0064464F"/>
    <w:rsid w:val="006532F3"/>
    <w:rsid w:val="00656A19"/>
    <w:rsid w:val="00657BD0"/>
    <w:rsid w:val="006601B5"/>
    <w:rsid w:val="00666FE9"/>
    <w:rsid w:val="00684C23"/>
    <w:rsid w:val="00694D42"/>
    <w:rsid w:val="00696861"/>
    <w:rsid w:val="006A6700"/>
    <w:rsid w:val="006A7828"/>
    <w:rsid w:val="006A7A20"/>
    <w:rsid w:val="006B2062"/>
    <w:rsid w:val="006B49A9"/>
    <w:rsid w:val="006D06F5"/>
    <w:rsid w:val="006D2EF0"/>
    <w:rsid w:val="006E17FE"/>
    <w:rsid w:val="006E49ED"/>
    <w:rsid w:val="006E6F2D"/>
    <w:rsid w:val="006F654D"/>
    <w:rsid w:val="006F7E2E"/>
    <w:rsid w:val="00702594"/>
    <w:rsid w:val="00706AF6"/>
    <w:rsid w:val="00706F60"/>
    <w:rsid w:val="007102B7"/>
    <w:rsid w:val="007202E2"/>
    <w:rsid w:val="00725ACC"/>
    <w:rsid w:val="0073533A"/>
    <w:rsid w:val="00735DB1"/>
    <w:rsid w:val="00736EAE"/>
    <w:rsid w:val="0074459C"/>
    <w:rsid w:val="00753450"/>
    <w:rsid w:val="00753DF3"/>
    <w:rsid w:val="00754416"/>
    <w:rsid w:val="007604B3"/>
    <w:rsid w:val="00770631"/>
    <w:rsid w:val="0077258F"/>
    <w:rsid w:val="00772E98"/>
    <w:rsid w:val="00774185"/>
    <w:rsid w:val="00777637"/>
    <w:rsid w:val="00784FEE"/>
    <w:rsid w:val="00792039"/>
    <w:rsid w:val="007A36C0"/>
    <w:rsid w:val="007B1DC7"/>
    <w:rsid w:val="007B2785"/>
    <w:rsid w:val="007B3B28"/>
    <w:rsid w:val="007B40D8"/>
    <w:rsid w:val="007B49A8"/>
    <w:rsid w:val="007B67DA"/>
    <w:rsid w:val="007B7184"/>
    <w:rsid w:val="007B7B8F"/>
    <w:rsid w:val="007C4F08"/>
    <w:rsid w:val="007C590B"/>
    <w:rsid w:val="007C78AD"/>
    <w:rsid w:val="007C7CCE"/>
    <w:rsid w:val="007D0BF4"/>
    <w:rsid w:val="007E1728"/>
    <w:rsid w:val="007E3AA0"/>
    <w:rsid w:val="007E57F5"/>
    <w:rsid w:val="007F6927"/>
    <w:rsid w:val="008037FB"/>
    <w:rsid w:val="00813B20"/>
    <w:rsid w:val="008158A3"/>
    <w:rsid w:val="008321E2"/>
    <w:rsid w:val="00832C32"/>
    <w:rsid w:val="008345E6"/>
    <w:rsid w:val="00835ECE"/>
    <w:rsid w:val="0083764A"/>
    <w:rsid w:val="00841CA7"/>
    <w:rsid w:val="00854860"/>
    <w:rsid w:val="00856F39"/>
    <w:rsid w:val="0086270A"/>
    <w:rsid w:val="00862A60"/>
    <w:rsid w:val="00865287"/>
    <w:rsid w:val="00880FFC"/>
    <w:rsid w:val="0088474E"/>
    <w:rsid w:val="008922C7"/>
    <w:rsid w:val="008A10A8"/>
    <w:rsid w:val="008A71E8"/>
    <w:rsid w:val="008B56FB"/>
    <w:rsid w:val="008B70E7"/>
    <w:rsid w:val="008B727F"/>
    <w:rsid w:val="008D0F46"/>
    <w:rsid w:val="008D3435"/>
    <w:rsid w:val="008D4A64"/>
    <w:rsid w:val="008D6F80"/>
    <w:rsid w:val="008E3ABD"/>
    <w:rsid w:val="008E4B48"/>
    <w:rsid w:val="008E5BCD"/>
    <w:rsid w:val="008E6D3C"/>
    <w:rsid w:val="008F1634"/>
    <w:rsid w:val="009102E6"/>
    <w:rsid w:val="009156F0"/>
    <w:rsid w:val="0092347D"/>
    <w:rsid w:val="00925891"/>
    <w:rsid w:val="0093406E"/>
    <w:rsid w:val="0093644A"/>
    <w:rsid w:val="009419FA"/>
    <w:rsid w:val="00944E4F"/>
    <w:rsid w:val="00961DCA"/>
    <w:rsid w:val="00965BEF"/>
    <w:rsid w:val="009672E4"/>
    <w:rsid w:val="0097202D"/>
    <w:rsid w:val="009802B8"/>
    <w:rsid w:val="00980BF7"/>
    <w:rsid w:val="009819EC"/>
    <w:rsid w:val="00983E70"/>
    <w:rsid w:val="00984330"/>
    <w:rsid w:val="009A090C"/>
    <w:rsid w:val="009B38F7"/>
    <w:rsid w:val="009B5530"/>
    <w:rsid w:val="009B7B27"/>
    <w:rsid w:val="009C1929"/>
    <w:rsid w:val="009C75B0"/>
    <w:rsid w:val="009D6038"/>
    <w:rsid w:val="009E1F27"/>
    <w:rsid w:val="009E20CD"/>
    <w:rsid w:val="009E2C7E"/>
    <w:rsid w:val="009E4ABA"/>
    <w:rsid w:val="009E4C47"/>
    <w:rsid w:val="009E5674"/>
    <w:rsid w:val="009E7322"/>
    <w:rsid w:val="00A03CE3"/>
    <w:rsid w:val="00A108C7"/>
    <w:rsid w:val="00A212C0"/>
    <w:rsid w:val="00A223D4"/>
    <w:rsid w:val="00A22A73"/>
    <w:rsid w:val="00A31471"/>
    <w:rsid w:val="00A31D2A"/>
    <w:rsid w:val="00A438D4"/>
    <w:rsid w:val="00A52472"/>
    <w:rsid w:val="00A55EBD"/>
    <w:rsid w:val="00A6073D"/>
    <w:rsid w:val="00A65C7C"/>
    <w:rsid w:val="00A66B50"/>
    <w:rsid w:val="00A74006"/>
    <w:rsid w:val="00A7782D"/>
    <w:rsid w:val="00A82563"/>
    <w:rsid w:val="00A83411"/>
    <w:rsid w:val="00A84319"/>
    <w:rsid w:val="00A84BB5"/>
    <w:rsid w:val="00A925DF"/>
    <w:rsid w:val="00A97106"/>
    <w:rsid w:val="00AA1163"/>
    <w:rsid w:val="00AA11EA"/>
    <w:rsid w:val="00AA30AF"/>
    <w:rsid w:val="00AA4305"/>
    <w:rsid w:val="00AA79F3"/>
    <w:rsid w:val="00AB1BC6"/>
    <w:rsid w:val="00AB59C6"/>
    <w:rsid w:val="00AC6611"/>
    <w:rsid w:val="00AC67C5"/>
    <w:rsid w:val="00AD5753"/>
    <w:rsid w:val="00AD687E"/>
    <w:rsid w:val="00AE2CB4"/>
    <w:rsid w:val="00AE3986"/>
    <w:rsid w:val="00AF6858"/>
    <w:rsid w:val="00B04D57"/>
    <w:rsid w:val="00B04F5C"/>
    <w:rsid w:val="00B05C7A"/>
    <w:rsid w:val="00B073EE"/>
    <w:rsid w:val="00B13222"/>
    <w:rsid w:val="00B136F3"/>
    <w:rsid w:val="00B13EBF"/>
    <w:rsid w:val="00B20523"/>
    <w:rsid w:val="00B23AEB"/>
    <w:rsid w:val="00B24A78"/>
    <w:rsid w:val="00B25A23"/>
    <w:rsid w:val="00B331ED"/>
    <w:rsid w:val="00B333C3"/>
    <w:rsid w:val="00B36E25"/>
    <w:rsid w:val="00B376B3"/>
    <w:rsid w:val="00B43833"/>
    <w:rsid w:val="00B45822"/>
    <w:rsid w:val="00B550AE"/>
    <w:rsid w:val="00B56E24"/>
    <w:rsid w:val="00B57D81"/>
    <w:rsid w:val="00B7280C"/>
    <w:rsid w:val="00B77285"/>
    <w:rsid w:val="00B84313"/>
    <w:rsid w:val="00B925A1"/>
    <w:rsid w:val="00B9296D"/>
    <w:rsid w:val="00B93722"/>
    <w:rsid w:val="00B96425"/>
    <w:rsid w:val="00BA0597"/>
    <w:rsid w:val="00BA2E74"/>
    <w:rsid w:val="00BA3B41"/>
    <w:rsid w:val="00BA63ED"/>
    <w:rsid w:val="00BB6A49"/>
    <w:rsid w:val="00BB6B68"/>
    <w:rsid w:val="00BC0B5A"/>
    <w:rsid w:val="00BC1B25"/>
    <w:rsid w:val="00BC571A"/>
    <w:rsid w:val="00BD4319"/>
    <w:rsid w:val="00BD6E4F"/>
    <w:rsid w:val="00BE48A4"/>
    <w:rsid w:val="00BE6FB3"/>
    <w:rsid w:val="00BE758F"/>
    <w:rsid w:val="00BF669B"/>
    <w:rsid w:val="00BF775B"/>
    <w:rsid w:val="00C159A1"/>
    <w:rsid w:val="00C16322"/>
    <w:rsid w:val="00C20442"/>
    <w:rsid w:val="00C22E2C"/>
    <w:rsid w:val="00C31432"/>
    <w:rsid w:val="00C36C7A"/>
    <w:rsid w:val="00C37D1D"/>
    <w:rsid w:val="00C40400"/>
    <w:rsid w:val="00C42EE6"/>
    <w:rsid w:val="00C51EA1"/>
    <w:rsid w:val="00C567E3"/>
    <w:rsid w:val="00C625DB"/>
    <w:rsid w:val="00C6574C"/>
    <w:rsid w:val="00C81B39"/>
    <w:rsid w:val="00C933C0"/>
    <w:rsid w:val="00C934D5"/>
    <w:rsid w:val="00C967EF"/>
    <w:rsid w:val="00C97360"/>
    <w:rsid w:val="00C97850"/>
    <w:rsid w:val="00CA040E"/>
    <w:rsid w:val="00CA4011"/>
    <w:rsid w:val="00CA5D68"/>
    <w:rsid w:val="00CB1F6C"/>
    <w:rsid w:val="00CB3699"/>
    <w:rsid w:val="00CB3E17"/>
    <w:rsid w:val="00CB412D"/>
    <w:rsid w:val="00CB4C98"/>
    <w:rsid w:val="00CB5958"/>
    <w:rsid w:val="00CC4CE1"/>
    <w:rsid w:val="00CC52E7"/>
    <w:rsid w:val="00CC7C5F"/>
    <w:rsid w:val="00CD1DE3"/>
    <w:rsid w:val="00CD4A5F"/>
    <w:rsid w:val="00CE5774"/>
    <w:rsid w:val="00CE5BF1"/>
    <w:rsid w:val="00CF6561"/>
    <w:rsid w:val="00D05085"/>
    <w:rsid w:val="00D12F0D"/>
    <w:rsid w:val="00D134C9"/>
    <w:rsid w:val="00D15DFC"/>
    <w:rsid w:val="00D32254"/>
    <w:rsid w:val="00D37E5E"/>
    <w:rsid w:val="00D504CD"/>
    <w:rsid w:val="00D50713"/>
    <w:rsid w:val="00D52CC9"/>
    <w:rsid w:val="00D5673D"/>
    <w:rsid w:val="00D64694"/>
    <w:rsid w:val="00D66214"/>
    <w:rsid w:val="00D6661E"/>
    <w:rsid w:val="00D7331D"/>
    <w:rsid w:val="00D80C85"/>
    <w:rsid w:val="00D82CA3"/>
    <w:rsid w:val="00D92C22"/>
    <w:rsid w:val="00D96054"/>
    <w:rsid w:val="00DA2602"/>
    <w:rsid w:val="00DA3E58"/>
    <w:rsid w:val="00DB08EE"/>
    <w:rsid w:val="00DB3104"/>
    <w:rsid w:val="00DC0596"/>
    <w:rsid w:val="00DC7574"/>
    <w:rsid w:val="00DC7978"/>
    <w:rsid w:val="00DD0A05"/>
    <w:rsid w:val="00DD3909"/>
    <w:rsid w:val="00DD412F"/>
    <w:rsid w:val="00DD41A3"/>
    <w:rsid w:val="00DE3328"/>
    <w:rsid w:val="00DE4F89"/>
    <w:rsid w:val="00DF3C2C"/>
    <w:rsid w:val="00DF70E3"/>
    <w:rsid w:val="00E00DD5"/>
    <w:rsid w:val="00E04FE0"/>
    <w:rsid w:val="00E056E4"/>
    <w:rsid w:val="00E06215"/>
    <w:rsid w:val="00E113A9"/>
    <w:rsid w:val="00E1490D"/>
    <w:rsid w:val="00E174FF"/>
    <w:rsid w:val="00E1791B"/>
    <w:rsid w:val="00E27751"/>
    <w:rsid w:val="00E30A6F"/>
    <w:rsid w:val="00E31762"/>
    <w:rsid w:val="00E31C6B"/>
    <w:rsid w:val="00E32E65"/>
    <w:rsid w:val="00E33C08"/>
    <w:rsid w:val="00E43985"/>
    <w:rsid w:val="00E46519"/>
    <w:rsid w:val="00E50301"/>
    <w:rsid w:val="00E50C68"/>
    <w:rsid w:val="00E511EC"/>
    <w:rsid w:val="00E54D8C"/>
    <w:rsid w:val="00E64569"/>
    <w:rsid w:val="00E659E2"/>
    <w:rsid w:val="00E66768"/>
    <w:rsid w:val="00E72508"/>
    <w:rsid w:val="00E729FE"/>
    <w:rsid w:val="00E72CDB"/>
    <w:rsid w:val="00E75BF1"/>
    <w:rsid w:val="00E76299"/>
    <w:rsid w:val="00E806A5"/>
    <w:rsid w:val="00E857AA"/>
    <w:rsid w:val="00E857B3"/>
    <w:rsid w:val="00E864BC"/>
    <w:rsid w:val="00E921BD"/>
    <w:rsid w:val="00EA2711"/>
    <w:rsid w:val="00EA4A47"/>
    <w:rsid w:val="00EB2884"/>
    <w:rsid w:val="00EB3836"/>
    <w:rsid w:val="00EB76A5"/>
    <w:rsid w:val="00EB7D57"/>
    <w:rsid w:val="00EC44C1"/>
    <w:rsid w:val="00EC4656"/>
    <w:rsid w:val="00EC7421"/>
    <w:rsid w:val="00ED1928"/>
    <w:rsid w:val="00ED3EA1"/>
    <w:rsid w:val="00EE0DF0"/>
    <w:rsid w:val="00EE2E21"/>
    <w:rsid w:val="00F05C51"/>
    <w:rsid w:val="00F1725D"/>
    <w:rsid w:val="00F2704E"/>
    <w:rsid w:val="00F27A69"/>
    <w:rsid w:val="00F27FAC"/>
    <w:rsid w:val="00F309A8"/>
    <w:rsid w:val="00F30A61"/>
    <w:rsid w:val="00F30B67"/>
    <w:rsid w:val="00F30E2A"/>
    <w:rsid w:val="00F367B1"/>
    <w:rsid w:val="00F4009C"/>
    <w:rsid w:val="00F43AA5"/>
    <w:rsid w:val="00F5083F"/>
    <w:rsid w:val="00F524BF"/>
    <w:rsid w:val="00F55555"/>
    <w:rsid w:val="00F6465E"/>
    <w:rsid w:val="00F65639"/>
    <w:rsid w:val="00F74CA1"/>
    <w:rsid w:val="00F7611E"/>
    <w:rsid w:val="00F777D0"/>
    <w:rsid w:val="00F80E75"/>
    <w:rsid w:val="00F81947"/>
    <w:rsid w:val="00F830B7"/>
    <w:rsid w:val="00F8615D"/>
    <w:rsid w:val="00F86B7C"/>
    <w:rsid w:val="00F872E3"/>
    <w:rsid w:val="00F90893"/>
    <w:rsid w:val="00FA3F88"/>
    <w:rsid w:val="00FB0790"/>
    <w:rsid w:val="00FB2A97"/>
    <w:rsid w:val="00FB473F"/>
    <w:rsid w:val="00FB70AE"/>
    <w:rsid w:val="00FC0A3E"/>
    <w:rsid w:val="00FC1995"/>
    <w:rsid w:val="00FC223E"/>
    <w:rsid w:val="00FD2F2D"/>
    <w:rsid w:val="00FD3767"/>
    <w:rsid w:val="00FD4067"/>
    <w:rsid w:val="00FD5E63"/>
    <w:rsid w:val="00FD735E"/>
    <w:rsid w:val="00FE062E"/>
    <w:rsid w:val="00FE06F7"/>
    <w:rsid w:val="00FE32E7"/>
    <w:rsid w:val="00FF1CFD"/>
    <w:rsid w:val="00FF395A"/>
    <w:rsid w:val="00FF63D1"/>
    <w:rsid w:val="031F1206"/>
    <w:rsid w:val="03304795"/>
    <w:rsid w:val="0333868B"/>
    <w:rsid w:val="054BCF53"/>
    <w:rsid w:val="062DDFCF"/>
    <w:rsid w:val="09060ACB"/>
    <w:rsid w:val="0A657A28"/>
    <w:rsid w:val="0AFD8707"/>
    <w:rsid w:val="0B5658B4"/>
    <w:rsid w:val="11D6EA8D"/>
    <w:rsid w:val="11DCAD94"/>
    <w:rsid w:val="1386D549"/>
    <w:rsid w:val="17D98402"/>
    <w:rsid w:val="1F01A50C"/>
    <w:rsid w:val="249363FB"/>
    <w:rsid w:val="249D2DF6"/>
    <w:rsid w:val="24DCD733"/>
    <w:rsid w:val="25E0DA27"/>
    <w:rsid w:val="29534AB4"/>
    <w:rsid w:val="2A2DABE0"/>
    <w:rsid w:val="2A3CDD94"/>
    <w:rsid w:val="2AB54E0C"/>
    <w:rsid w:val="2D1166F6"/>
    <w:rsid w:val="2EA8BCFE"/>
    <w:rsid w:val="2EC14728"/>
    <w:rsid w:val="2FFB93BD"/>
    <w:rsid w:val="3299F40A"/>
    <w:rsid w:val="32B73DD3"/>
    <w:rsid w:val="32DF3E3D"/>
    <w:rsid w:val="359368C5"/>
    <w:rsid w:val="35D8AB02"/>
    <w:rsid w:val="361451FA"/>
    <w:rsid w:val="39C634C1"/>
    <w:rsid w:val="3A4E3038"/>
    <w:rsid w:val="3FAFFB30"/>
    <w:rsid w:val="408ED90A"/>
    <w:rsid w:val="42453C83"/>
    <w:rsid w:val="44316A62"/>
    <w:rsid w:val="4432A813"/>
    <w:rsid w:val="463D3624"/>
    <w:rsid w:val="4691CB10"/>
    <w:rsid w:val="48272649"/>
    <w:rsid w:val="490D71A1"/>
    <w:rsid w:val="491D0E50"/>
    <w:rsid w:val="4A78BB04"/>
    <w:rsid w:val="4B3FC4C4"/>
    <w:rsid w:val="4CE79B7A"/>
    <w:rsid w:val="4D5AB8EB"/>
    <w:rsid w:val="4DA00017"/>
    <w:rsid w:val="4DF8DB4E"/>
    <w:rsid w:val="4E5CAA3B"/>
    <w:rsid w:val="4F1D76FE"/>
    <w:rsid w:val="5084137F"/>
    <w:rsid w:val="5193625E"/>
    <w:rsid w:val="51F6BEBE"/>
    <w:rsid w:val="52BD4BEC"/>
    <w:rsid w:val="52C70040"/>
    <w:rsid w:val="540CF8FC"/>
    <w:rsid w:val="54D9AB1E"/>
    <w:rsid w:val="5636BF73"/>
    <w:rsid w:val="58FD24BC"/>
    <w:rsid w:val="5A3105FE"/>
    <w:rsid w:val="5A3CC2FF"/>
    <w:rsid w:val="5ADC779A"/>
    <w:rsid w:val="5B11C007"/>
    <w:rsid w:val="5B395EE7"/>
    <w:rsid w:val="5BE22F2C"/>
    <w:rsid w:val="5C125F45"/>
    <w:rsid w:val="5CECE0D4"/>
    <w:rsid w:val="5E057698"/>
    <w:rsid w:val="60CBD7B9"/>
    <w:rsid w:val="61DCAD8B"/>
    <w:rsid w:val="62A2EE39"/>
    <w:rsid w:val="646BF285"/>
    <w:rsid w:val="666E8A82"/>
    <w:rsid w:val="69A7C51E"/>
    <w:rsid w:val="6BFE8B44"/>
    <w:rsid w:val="6CD2CA9E"/>
    <w:rsid w:val="6D058E71"/>
    <w:rsid w:val="6D7A25E2"/>
    <w:rsid w:val="6FC9CD22"/>
    <w:rsid w:val="7018682E"/>
    <w:rsid w:val="719A5198"/>
    <w:rsid w:val="73D46A7E"/>
    <w:rsid w:val="73E74D61"/>
    <w:rsid w:val="74652009"/>
    <w:rsid w:val="755BCC78"/>
    <w:rsid w:val="760EEC1B"/>
    <w:rsid w:val="7800EA82"/>
    <w:rsid w:val="786D0923"/>
    <w:rsid w:val="78D22BFB"/>
    <w:rsid w:val="7AD81D98"/>
    <w:rsid w:val="7C0D347D"/>
    <w:rsid w:val="7C917C66"/>
    <w:rsid w:val="7D608D66"/>
    <w:rsid w:val="7F879B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0F0E9ED-55CA-42C6-BFFF-B23DF44B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7A92"/>
  </w:style>
  <w:style w:type="character" w:customStyle="1" w:styleId="eop">
    <w:name w:val="eop"/>
    <w:basedOn w:val="DefaultParagraphFont"/>
    <w:rsid w:val="00007A92"/>
  </w:style>
  <w:style w:type="character" w:customStyle="1" w:styleId="nobreakhyphenblob">
    <w:name w:val="nobreakhyphenblob"/>
    <w:basedOn w:val="DefaultParagraphFont"/>
    <w:rsid w:val="00C4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8" ma:contentTypeDescription="Create a new document." ma:contentTypeScope="" ma:versionID="7d752b558ba1402f88634f05eec82176">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8d5b17ffc358e79f1967c46f2be1be7e"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49cb8e-b321-4094-a4fe-7a9fc9b3d5ab}"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lcf76f155ced4ddcb4097134ff3c332f xmlns="deec781b-51b2-41f5-8977-d833afa0cdb5">
      <Terms xmlns="http://schemas.microsoft.com/office/infopath/2007/PartnerControls"/>
    </lcf76f155ced4ddcb4097134ff3c332f>
    <TaxCatchAll xmlns="30d79745-92fc-4b4e-a213-f975f2a6d94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B8C74F0B-E69B-4908-940B-88B3EB3779D2}"/>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2688</Words>
  <Characters>15327</Characters>
  <Application>Microsoft Office Word</Application>
  <DocSecurity>4</DocSecurity>
  <Lines>127</Lines>
  <Paragraphs>35</Paragraphs>
  <ScaleCrop>false</ScaleCrop>
  <Company>Tower Hamlets</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Denise Sage</cp:lastModifiedBy>
  <cp:revision>2</cp:revision>
  <dcterms:created xsi:type="dcterms:W3CDTF">2026-05-29T10:52:00Z</dcterms:created>
  <dcterms:modified xsi:type="dcterms:W3CDTF">2026-05-29T10:52:00Z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MediaServiceImageTags">
    <vt:lpwstr/>
  </property>
</Properties>
</file>